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740D3" w14:textId="77777777" w:rsidR="00DC1CDD" w:rsidRPr="00A049E9" w:rsidRDefault="00DC1CDD" w:rsidP="00DC1CDD">
      <w:pPr>
        <w:jc w:val="center"/>
        <w:rPr>
          <w:rFonts w:ascii="Arial" w:hAnsi="Arial" w:cs="Arial"/>
          <w:b/>
          <w:bCs/>
          <w:color w:val="FF0000"/>
          <w:sz w:val="28"/>
          <w:szCs w:val="28"/>
        </w:rPr>
      </w:pPr>
      <w:r w:rsidRPr="00A049E9">
        <w:rPr>
          <w:rFonts w:ascii="Arial" w:hAnsi="Arial" w:cs="Arial"/>
          <w:b/>
          <w:bCs/>
          <w:color w:val="FF0000"/>
          <w:sz w:val="28"/>
          <w:szCs w:val="28"/>
        </w:rPr>
        <w:t>[TEMPLATE]</w:t>
      </w:r>
    </w:p>
    <w:p w14:paraId="02EEBAF8" w14:textId="77777777" w:rsidR="00DC1CDD" w:rsidRDefault="00DC1CDD" w:rsidP="00DC1CDD">
      <w:pPr>
        <w:jc w:val="center"/>
        <w:rPr>
          <w:rFonts w:ascii="Arial" w:hAnsi="Arial" w:cs="Arial"/>
          <w:b/>
          <w:bCs/>
          <w:sz w:val="28"/>
          <w:szCs w:val="28"/>
        </w:rPr>
      </w:pPr>
    </w:p>
    <w:p w14:paraId="1B87672E" w14:textId="77777777" w:rsidR="00DC1CDD" w:rsidRPr="00B26BD2" w:rsidRDefault="00DC1CDD" w:rsidP="00DC1CDD">
      <w:pPr>
        <w:ind w:left="720" w:right="432"/>
        <w:rPr>
          <w:rFonts w:ascii="Arial" w:hAnsi="Arial" w:cs="Arial"/>
          <w:color w:val="FF0000"/>
        </w:rPr>
      </w:pPr>
      <w:r w:rsidRPr="00B26BD2">
        <w:rPr>
          <w:rFonts w:ascii="Arial" w:hAnsi="Arial" w:cs="Arial"/>
          <w:color w:val="FF0000"/>
        </w:rPr>
        <w:t>[The following template is provided as a resource and is for informational purposes only. This template is not intended to provide reimbursement or legal advice.]</w:t>
      </w:r>
    </w:p>
    <w:p w14:paraId="09792C68" w14:textId="77777777" w:rsidR="00DB4DEB" w:rsidRPr="00DB4DEB" w:rsidRDefault="00DB4DEB" w:rsidP="00DB4DEB">
      <w:pPr>
        <w:jc w:val="center"/>
        <w:rPr>
          <w:rFonts w:ascii="Arial" w:hAnsi="Arial" w:cs="Arial"/>
          <w:b/>
          <w:bCs/>
          <w:sz w:val="28"/>
          <w:szCs w:val="28"/>
        </w:rPr>
      </w:pPr>
    </w:p>
    <w:p w14:paraId="40B3B6E9" w14:textId="77777777" w:rsidR="00E41254" w:rsidRPr="00E1434E" w:rsidRDefault="00DB4DEB" w:rsidP="00DB4DEB">
      <w:pPr>
        <w:jc w:val="center"/>
        <w:rPr>
          <w:rFonts w:ascii="Arial" w:hAnsi="Arial" w:cs="Arial"/>
          <w:b/>
          <w:bCs/>
          <w:sz w:val="21"/>
          <w:szCs w:val="21"/>
          <w:u w:val="single"/>
        </w:rPr>
      </w:pPr>
      <w:r w:rsidRPr="00E1434E">
        <w:rPr>
          <w:rFonts w:ascii="Arial" w:hAnsi="Arial" w:cs="Arial"/>
          <w:b/>
          <w:bCs/>
          <w:sz w:val="21"/>
          <w:szCs w:val="21"/>
          <w:u w:val="single"/>
        </w:rPr>
        <w:t xml:space="preserve">  Letter of Medical Necessity</w:t>
      </w:r>
    </w:p>
    <w:p w14:paraId="099B807E" w14:textId="5E305211" w:rsidR="00DB4DEB" w:rsidRPr="0070385C" w:rsidRDefault="00DB4DEB" w:rsidP="00DB4DEB">
      <w:pPr>
        <w:jc w:val="center"/>
        <w:rPr>
          <w:rFonts w:ascii="Arial" w:hAnsi="Arial" w:cs="Arial"/>
          <w:b/>
          <w:bCs/>
          <w:sz w:val="21"/>
          <w:szCs w:val="21"/>
        </w:rPr>
      </w:pPr>
      <w:r>
        <w:rPr>
          <w:rFonts w:ascii="Arial" w:hAnsi="Arial" w:cs="Arial"/>
          <w:b/>
          <w:bCs/>
          <w:sz w:val="21"/>
          <w:szCs w:val="21"/>
        </w:rPr>
        <w:t xml:space="preserve"> </w:t>
      </w:r>
      <w:r w:rsidR="002D5053">
        <w:rPr>
          <w:rFonts w:ascii="Arial" w:hAnsi="Arial" w:cs="Arial"/>
          <w:b/>
          <w:bCs/>
          <w:sz w:val="21"/>
          <w:szCs w:val="21"/>
        </w:rPr>
        <w:t>Zembrace</w:t>
      </w:r>
      <w:r w:rsidRPr="00512C40">
        <w:rPr>
          <w:rFonts w:ascii="Arial" w:hAnsi="Arial" w:cs="Arial"/>
          <w:b/>
          <w:bCs/>
          <w:sz w:val="21"/>
          <w:szCs w:val="21"/>
          <w:vertAlign w:val="superscript"/>
        </w:rPr>
        <w:t>®</w:t>
      </w:r>
      <w:r w:rsidR="00512C40">
        <w:rPr>
          <w:rFonts w:ascii="Arial" w:hAnsi="Arial" w:cs="Arial"/>
          <w:b/>
          <w:bCs/>
          <w:sz w:val="21"/>
          <w:szCs w:val="21"/>
        </w:rPr>
        <w:t xml:space="preserve"> </w:t>
      </w:r>
      <w:r w:rsidR="002D5053">
        <w:rPr>
          <w:rFonts w:ascii="Arial" w:hAnsi="Arial" w:cs="Arial"/>
          <w:b/>
          <w:bCs/>
          <w:sz w:val="21"/>
          <w:szCs w:val="21"/>
        </w:rPr>
        <w:t>Sym</w:t>
      </w:r>
      <w:r w:rsidR="00512C40">
        <w:rPr>
          <w:rFonts w:ascii="Arial" w:hAnsi="Arial" w:cs="Arial"/>
          <w:b/>
          <w:bCs/>
          <w:sz w:val="21"/>
          <w:szCs w:val="21"/>
        </w:rPr>
        <w:t>T</w:t>
      </w:r>
      <w:r w:rsidR="002D5053">
        <w:rPr>
          <w:rFonts w:ascii="Arial" w:hAnsi="Arial" w:cs="Arial"/>
          <w:b/>
          <w:bCs/>
          <w:sz w:val="21"/>
          <w:szCs w:val="21"/>
        </w:rPr>
        <w:t>ou</w:t>
      </w:r>
      <w:r w:rsidR="004F211F">
        <w:rPr>
          <w:rFonts w:ascii="Arial" w:hAnsi="Arial" w:cs="Arial"/>
          <w:b/>
          <w:bCs/>
          <w:sz w:val="21"/>
          <w:szCs w:val="21"/>
        </w:rPr>
        <w:t>ch</w:t>
      </w:r>
      <w:r w:rsidR="004F211F" w:rsidRPr="00C973C0">
        <w:rPr>
          <w:rFonts w:ascii="Arial" w:hAnsi="Arial" w:cs="Arial"/>
          <w:b/>
          <w:bCs/>
          <w:sz w:val="21"/>
          <w:szCs w:val="21"/>
          <w:vertAlign w:val="superscript"/>
        </w:rPr>
        <w:t>®</w:t>
      </w:r>
      <w:r>
        <w:rPr>
          <w:rFonts w:ascii="Arial" w:hAnsi="Arial" w:cs="Arial"/>
          <w:b/>
          <w:bCs/>
          <w:sz w:val="21"/>
          <w:szCs w:val="21"/>
        </w:rPr>
        <w:t xml:space="preserve"> (Sumatriptan </w:t>
      </w:r>
      <w:r w:rsidR="004F211F">
        <w:rPr>
          <w:rFonts w:ascii="Arial" w:hAnsi="Arial" w:cs="Arial"/>
          <w:b/>
          <w:bCs/>
          <w:sz w:val="21"/>
          <w:szCs w:val="21"/>
        </w:rPr>
        <w:t>Injection</w:t>
      </w:r>
      <w:r>
        <w:rPr>
          <w:rFonts w:ascii="Arial" w:hAnsi="Arial" w:cs="Arial"/>
          <w:b/>
          <w:bCs/>
          <w:sz w:val="21"/>
          <w:szCs w:val="21"/>
        </w:rPr>
        <w:t xml:space="preserve">) </w:t>
      </w:r>
      <w:r w:rsidR="004F211F">
        <w:rPr>
          <w:rFonts w:ascii="Arial" w:hAnsi="Arial" w:cs="Arial"/>
          <w:b/>
          <w:bCs/>
          <w:sz w:val="21"/>
          <w:szCs w:val="21"/>
        </w:rPr>
        <w:t>3</w:t>
      </w:r>
      <w:r>
        <w:rPr>
          <w:rFonts w:ascii="Arial" w:hAnsi="Arial" w:cs="Arial"/>
          <w:b/>
          <w:bCs/>
          <w:sz w:val="21"/>
          <w:szCs w:val="21"/>
        </w:rPr>
        <w:t xml:space="preserve"> mg</w:t>
      </w:r>
      <w:r w:rsidRPr="0070385C">
        <w:rPr>
          <w:rFonts w:ascii="Arial" w:hAnsi="Arial" w:cs="Arial"/>
          <w:b/>
          <w:bCs/>
          <w:sz w:val="21"/>
          <w:szCs w:val="21"/>
        </w:rPr>
        <w:t xml:space="preserve">  </w:t>
      </w:r>
    </w:p>
    <w:p w14:paraId="2D9D1600" w14:textId="77777777" w:rsidR="00DB4DEB" w:rsidRPr="0070385C" w:rsidRDefault="00DB4DEB" w:rsidP="00DB4DEB">
      <w:pPr>
        <w:rPr>
          <w:rFonts w:ascii="Arial" w:hAnsi="Arial" w:cs="Arial"/>
          <w:sz w:val="21"/>
          <w:szCs w:val="21"/>
        </w:rPr>
      </w:pPr>
    </w:p>
    <w:p w14:paraId="7E61C8A0" w14:textId="685519B9" w:rsidR="00DB4DEB" w:rsidRPr="00DB4DEB" w:rsidRDefault="00DB4DEB" w:rsidP="00DB4DEB">
      <w:pPr>
        <w:rPr>
          <w:rFonts w:ascii="Arial" w:hAnsi="Arial" w:cs="Arial"/>
          <w:color w:val="FF0000"/>
          <w:sz w:val="21"/>
          <w:szCs w:val="21"/>
        </w:rPr>
      </w:pPr>
      <w:r w:rsidRPr="00DB4DEB">
        <w:rPr>
          <w:rFonts w:ascii="Arial" w:hAnsi="Arial" w:cs="Arial"/>
          <w:color w:val="FF0000"/>
          <w:sz w:val="21"/>
          <w:szCs w:val="21"/>
        </w:rPr>
        <w:t>[Date]</w:t>
      </w:r>
    </w:p>
    <w:p w14:paraId="085A9F09" w14:textId="77777777" w:rsidR="00DB4DEB" w:rsidRPr="0070385C" w:rsidRDefault="00DB4DEB" w:rsidP="00DB4DEB">
      <w:pPr>
        <w:rPr>
          <w:rFonts w:ascii="Arial" w:hAnsi="Arial" w:cs="Arial"/>
          <w:sz w:val="21"/>
          <w:szCs w:val="21"/>
        </w:rPr>
      </w:pPr>
    </w:p>
    <w:p w14:paraId="570979BD" w14:textId="77777777" w:rsidR="00E3078D" w:rsidRDefault="00DB4DEB" w:rsidP="00DB4DEB">
      <w:pPr>
        <w:rPr>
          <w:rFonts w:ascii="Arial" w:hAnsi="Arial" w:cs="Arial"/>
          <w:sz w:val="21"/>
          <w:szCs w:val="21"/>
        </w:rPr>
      </w:pPr>
      <w:r w:rsidRPr="0070385C">
        <w:rPr>
          <w:rFonts w:ascii="Arial" w:hAnsi="Arial" w:cs="Arial"/>
          <w:sz w:val="21"/>
          <w:szCs w:val="21"/>
        </w:rPr>
        <w:t>ATTN:</w:t>
      </w:r>
      <w:r w:rsidR="00B271F9">
        <w:rPr>
          <w:rFonts w:ascii="Arial" w:hAnsi="Arial" w:cs="Arial"/>
          <w:sz w:val="21"/>
          <w:szCs w:val="21"/>
        </w:rPr>
        <w:t xml:space="preserve"> </w:t>
      </w:r>
    </w:p>
    <w:p w14:paraId="34309CD7" w14:textId="3FD13FA3" w:rsidR="00E3078D" w:rsidRPr="00EE6F34" w:rsidRDefault="00E3078D" w:rsidP="00DB4DEB">
      <w:pPr>
        <w:rPr>
          <w:rFonts w:ascii="Arial" w:hAnsi="Arial" w:cs="Arial"/>
          <w:color w:val="FF0000"/>
          <w:sz w:val="21"/>
          <w:szCs w:val="21"/>
        </w:rPr>
      </w:pPr>
      <w:r w:rsidRPr="00EE6F34">
        <w:rPr>
          <w:rFonts w:ascii="Arial" w:hAnsi="Arial" w:cs="Arial"/>
          <w:color w:val="FF0000"/>
          <w:sz w:val="21"/>
          <w:szCs w:val="21"/>
        </w:rPr>
        <w:t>[Health Plan]</w:t>
      </w:r>
    </w:p>
    <w:p w14:paraId="6728A835" w14:textId="2190343C" w:rsidR="00DB4DEB" w:rsidRPr="00B271F9" w:rsidRDefault="00DB4DEB" w:rsidP="00DB4DEB">
      <w:pPr>
        <w:rPr>
          <w:rFonts w:ascii="Arial" w:hAnsi="Arial" w:cs="Arial"/>
          <w:sz w:val="21"/>
          <w:szCs w:val="21"/>
        </w:rPr>
      </w:pPr>
      <w:r w:rsidRPr="00DB4DEB">
        <w:rPr>
          <w:rFonts w:ascii="Arial" w:hAnsi="Arial" w:cs="Arial"/>
          <w:color w:val="FF0000"/>
          <w:sz w:val="21"/>
          <w:szCs w:val="21"/>
        </w:rPr>
        <w:t xml:space="preserve">[Contact name]                                                                    </w:t>
      </w:r>
    </w:p>
    <w:p w14:paraId="669F4441" w14:textId="77777777" w:rsidR="00DB4DEB" w:rsidRPr="0070385C" w:rsidRDefault="00DB4DEB" w:rsidP="00DB4DEB">
      <w:pPr>
        <w:rPr>
          <w:rFonts w:ascii="Arial" w:hAnsi="Arial" w:cs="Arial"/>
          <w:sz w:val="21"/>
          <w:szCs w:val="21"/>
        </w:rPr>
      </w:pPr>
    </w:p>
    <w:p w14:paraId="33DA71D6" w14:textId="6E31EFB3" w:rsidR="00DB4DEB" w:rsidRPr="00DB4DEB" w:rsidRDefault="00DB4DEB" w:rsidP="00DB4DEB">
      <w:pPr>
        <w:rPr>
          <w:rFonts w:ascii="Arial" w:hAnsi="Arial" w:cs="Arial"/>
          <w:color w:val="FF0000"/>
          <w:sz w:val="21"/>
          <w:szCs w:val="21"/>
        </w:rPr>
      </w:pPr>
      <w:r w:rsidRPr="0070385C">
        <w:rPr>
          <w:rFonts w:ascii="Arial" w:hAnsi="Arial" w:cs="Arial"/>
          <w:sz w:val="21"/>
          <w:szCs w:val="21"/>
        </w:rPr>
        <w:t xml:space="preserve">RE: </w:t>
      </w:r>
      <w:r w:rsidRPr="00DB4DEB">
        <w:rPr>
          <w:rFonts w:ascii="Arial" w:hAnsi="Arial" w:cs="Arial"/>
          <w:color w:val="FF0000"/>
          <w:sz w:val="21"/>
          <w:szCs w:val="21"/>
        </w:rPr>
        <w:t>[</w:t>
      </w:r>
      <w:r>
        <w:rPr>
          <w:rFonts w:ascii="Arial" w:hAnsi="Arial" w:cs="Arial"/>
          <w:color w:val="FF0000"/>
          <w:sz w:val="21"/>
          <w:szCs w:val="21"/>
        </w:rPr>
        <w:t>P</w:t>
      </w:r>
      <w:r w:rsidRPr="00DB4DEB">
        <w:rPr>
          <w:rFonts w:ascii="Arial" w:hAnsi="Arial" w:cs="Arial"/>
          <w:color w:val="FF0000"/>
          <w:sz w:val="21"/>
          <w:szCs w:val="21"/>
        </w:rPr>
        <w:t>atient]</w:t>
      </w:r>
    </w:p>
    <w:p w14:paraId="5E4DE912" w14:textId="1BE79B4A" w:rsidR="00DB4DEB" w:rsidRPr="0070385C" w:rsidRDefault="00DB4DEB" w:rsidP="00DB4DEB">
      <w:pPr>
        <w:rPr>
          <w:rFonts w:ascii="Arial" w:hAnsi="Arial" w:cs="Arial"/>
          <w:color w:val="FF40FF"/>
          <w:sz w:val="21"/>
          <w:szCs w:val="21"/>
        </w:rPr>
      </w:pPr>
      <w:r w:rsidRPr="0070385C">
        <w:rPr>
          <w:rFonts w:ascii="Arial" w:hAnsi="Arial" w:cs="Arial"/>
          <w:color w:val="000000" w:themeColor="text1"/>
          <w:sz w:val="21"/>
          <w:szCs w:val="21"/>
        </w:rPr>
        <w:t xml:space="preserve">Date of birth: </w:t>
      </w:r>
      <w:r w:rsidRPr="00DB4DEB">
        <w:rPr>
          <w:rFonts w:ascii="Arial" w:hAnsi="Arial" w:cs="Arial"/>
          <w:color w:val="FF0000"/>
          <w:sz w:val="21"/>
          <w:szCs w:val="21"/>
        </w:rPr>
        <w:t>[Patient DOB]</w:t>
      </w:r>
    </w:p>
    <w:p w14:paraId="6DF33892" w14:textId="1F3D316A" w:rsidR="00DB4DEB" w:rsidRPr="00DB4DEB" w:rsidRDefault="00DB4DEB" w:rsidP="00DB4DEB">
      <w:pPr>
        <w:rPr>
          <w:rFonts w:ascii="Arial" w:hAnsi="Arial" w:cs="Arial"/>
          <w:color w:val="FF0000"/>
          <w:sz w:val="21"/>
          <w:szCs w:val="21"/>
        </w:rPr>
      </w:pPr>
      <w:r w:rsidRPr="00DB4DEB">
        <w:rPr>
          <w:rFonts w:ascii="Arial" w:hAnsi="Arial" w:cs="Arial"/>
          <w:color w:val="FF0000"/>
          <w:sz w:val="21"/>
          <w:szCs w:val="21"/>
        </w:rPr>
        <w:t>[Policy #]</w:t>
      </w:r>
      <w:r>
        <w:rPr>
          <w:rFonts w:ascii="Arial" w:hAnsi="Arial" w:cs="Arial"/>
          <w:color w:val="FF0000"/>
          <w:sz w:val="21"/>
          <w:szCs w:val="21"/>
        </w:rPr>
        <w:t xml:space="preserve"> </w:t>
      </w:r>
      <w:r w:rsidRPr="00DB4DEB">
        <w:rPr>
          <w:rFonts w:ascii="Arial" w:hAnsi="Arial" w:cs="Arial"/>
          <w:color w:val="FF0000"/>
          <w:sz w:val="21"/>
          <w:szCs w:val="21"/>
        </w:rPr>
        <w:t>[Group #]</w:t>
      </w:r>
    </w:p>
    <w:p w14:paraId="26CE1B7F" w14:textId="77777777" w:rsidR="00DB4DEB" w:rsidRPr="0070385C" w:rsidRDefault="00DB4DEB" w:rsidP="00DB4DEB">
      <w:pPr>
        <w:rPr>
          <w:rFonts w:ascii="Arial" w:hAnsi="Arial" w:cs="Arial"/>
          <w:sz w:val="21"/>
          <w:szCs w:val="21"/>
        </w:rPr>
      </w:pPr>
    </w:p>
    <w:p w14:paraId="4C01A4B0" w14:textId="77777777" w:rsidR="00DB4DEB" w:rsidRPr="0070385C" w:rsidRDefault="00DB4DEB" w:rsidP="00DB4DEB">
      <w:pPr>
        <w:rPr>
          <w:rFonts w:ascii="Arial" w:hAnsi="Arial" w:cs="Arial"/>
          <w:sz w:val="21"/>
          <w:szCs w:val="21"/>
        </w:rPr>
      </w:pPr>
      <w:r w:rsidRPr="0070385C">
        <w:rPr>
          <w:rFonts w:ascii="Arial" w:hAnsi="Arial" w:cs="Arial"/>
          <w:sz w:val="21"/>
          <w:szCs w:val="21"/>
        </w:rPr>
        <w:t xml:space="preserve">To whom it may concern:  </w:t>
      </w:r>
    </w:p>
    <w:p w14:paraId="7617CDB3" w14:textId="77777777" w:rsidR="00DB4DEB" w:rsidRPr="0070385C" w:rsidRDefault="00DB4DEB" w:rsidP="00DB4DEB">
      <w:pPr>
        <w:rPr>
          <w:rFonts w:ascii="Arial" w:hAnsi="Arial" w:cs="Arial"/>
          <w:sz w:val="21"/>
          <w:szCs w:val="21"/>
        </w:rPr>
      </w:pPr>
    </w:p>
    <w:p w14:paraId="60DEA0FA" w14:textId="1558F941" w:rsidR="00DB4DEB" w:rsidRDefault="00DB4DEB" w:rsidP="003E6C33">
      <w:pPr>
        <w:autoSpaceDE w:val="0"/>
        <w:autoSpaceDN w:val="0"/>
        <w:adjustRightInd w:val="0"/>
        <w:ind w:right="90"/>
        <w:rPr>
          <w:rFonts w:ascii="Arial" w:hAnsi="Arial" w:cs="Arial"/>
          <w:sz w:val="21"/>
          <w:szCs w:val="21"/>
        </w:rPr>
      </w:pPr>
      <w:r w:rsidRPr="0070385C">
        <w:rPr>
          <w:rFonts w:ascii="Arial" w:hAnsi="Arial" w:cs="Arial"/>
          <w:sz w:val="21"/>
          <w:szCs w:val="21"/>
        </w:rPr>
        <w:t xml:space="preserve">I am writing on behalf of </w:t>
      </w:r>
      <w:r w:rsidRPr="00DB4DEB">
        <w:rPr>
          <w:rFonts w:ascii="Arial" w:hAnsi="Arial" w:cs="Arial"/>
          <w:color w:val="FF0000"/>
          <w:sz w:val="21"/>
          <w:szCs w:val="21"/>
        </w:rPr>
        <w:t>[</w:t>
      </w:r>
      <w:r>
        <w:rPr>
          <w:rFonts w:ascii="Arial" w:hAnsi="Arial" w:cs="Arial"/>
          <w:color w:val="FF0000"/>
          <w:sz w:val="21"/>
          <w:szCs w:val="21"/>
        </w:rPr>
        <w:t>P</w:t>
      </w:r>
      <w:r w:rsidRPr="00DB4DEB">
        <w:rPr>
          <w:rFonts w:ascii="Arial" w:hAnsi="Arial" w:cs="Arial"/>
          <w:color w:val="FF0000"/>
          <w:sz w:val="21"/>
          <w:szCs w:val="21"/>
        </w:rPr>
        <w:t>atient]</w:t>
      </w:r>
      <w:r>
        <w:rPr>
          <w:rFonts w:ascii="Arial" w:hAnsi="Arial" w:cs="Arial"/>
          <w:color w:val="FF0000"/>
          <w:sz w:val="21"/>
          <w:szCs w:val="21"/>
        </w:rPr>
        <w:t xml:space="preserve"> </w:t>
      </w:r>
      <w:r w:rsidRPr="008327D1">
        <w:rPr>
          <w:rFonts w:ascii="Arial" w:hAnsi="Arial" w:cs="Arial"/>
          <w:b/>
          <w:bCs/>
          <w:sz w:val="21"/>
          <w:szCs w:val="21"/>
        </w:rPr>
        <w:t xml:space="preserve">to request approval of </w:t>
      </w:r>
      <w:r w:rsidR="0027500D">
        <w:rPr>
          <w:rFonts w:ascii="Arial" w:hAnsi="Arial" w:cs="Arial"/>
          <w:b/>
          <w:bCs/>
          <w:sz w:val="21"/>
          <w:szCs w:val="21"/>
        </w:rPr>
        <w:t>Zembrace</w:t>
      </w:r>
      <w:r w:rsidR="00E3078D">
        <w:rPr>
          <w:rFonts w:ascii="Arial" w:hAnsi="Arial" w:cs="Arial"/>
          <w:b/>
          <w:bCs/>
          <w:sz w:val="21"/>
          <w:szCs w:val="21"/>
        </w:rPr>
        <w:t xml:space="preserve"> </w:t>
      </w:r>
      <w:r w:rsidR="00512C40">
        <w:rPr>
          <w:rFonts w:ascii="Arial" w:hAnsi="Arial" w:cs="Arial"/>
          <w:b/>
          <w:bCs/>
          <w:sz w:val="21"/>
          <w:szCs w:val="21"/>
        </w:rPr>
        <w:t xml:space="preserve">SymTouch </w:t>
      </w:r>
      <w:r w:rsidR="00E3078D">
        <w:rPr>
          <w:rFonts w:ascii="Arial" w:hAnsi="Arial" w:cs="Arial"/>
          <w:b/>
          <w:bCs/>
          <w:sz w:val="21"/>
          <w:szCs w:val="21"/>
        </w:rPr>
        <w:t xml:space="preserve">(sumatriptan </w:t>
      </w:r>
      <w:r w:rsidR="0027500D">
        <w:rPr>
          <w:rFonts w:ascii="Arial" w:hAnsi="Arial" w:cs="Arial"/>
          <w:b/>
          <w:bCs/>
          <w:sz w:val="21"/>
          <w:szCs w:val="21"/>
        </w:rPr>
        <w:t>injection</w:t>
      </w:r>
      <w:r w:rsidR="00E3078D">
        <w:rPr>
          <w:rFonts w:ascii="Arial" w:hAnsi="Arial" w:cs="Arial"/>
          <w:b/>
          <w:bCs/>
          <w:sz w:val="21"/>
          <w:szCs w:val="21"/>
        </w:rPr>
        <w:t xml:space="preserve">) </w:t>
      </w:r>
      <w:r w:rsidR="0027500D">
        <w:rPr>
          <w:rFonts w:ascii="Arial" w:hAnsi="Arial" w:cs="Arial"/>
          <w:b/>
          <w:bCs/>
          <w:sz w:val="21"/>
          <w:szCs w:val="21"/>
        </w:rPr>
        <w:t>3</w:t>
      </w:r>
      <w:r w:rsidR="00AE2AF7">
        <w:rPr>
          <w:rFonts w:ascii="Arial" w:hAnsi="Arial" w:cs="Arial"/>
          <w:b/>
          <w:bCs/>
          <w:sz w:val="21"/>
          <w:szCs w:val="21"/>
        </w:rPr>
        <w:t xml:space="preserve"> </w:t>
      </w:r>
      <w:r w:rsidR="00E3078D">
        <w:rPr>
          <w:rFonts w:ascii="Arial" w:hAnsi="Arial" w:cs="Arial"/>
          <w:b/>
          <w:bCs/>
          <w:sz w:val="21"/>
          <w:szCs w:val="21"/>
        </w:rPr>
        <w:t>mg</w:t>
      </w:r>
      <w:r w:rsidR="00EE6F34">
        <w:rPr>
          <w:rFonts w:ascii="Arial" w:hAnsi="Arial" w:cs="Arial"/>
          <w:b/>
          <w:bCs/>
          <w:sz w:val="21"/>
          <w:szCs w:val="21"/>
        </w:rPr>
        <w:t xml:space="preserve"> </w:t>
      </w:r>
      <w:r>
        <w:rPr>
          <w:rFonts w:ascii="Arial" w:hAnsi="Arial" w:cs="Arial"/>
          <w:sz w:val="21"/>
          <w:szCs w:val="21"/>
        </w:rPr>
        <w:t>as a non-oral treatment for acute migraine</w:t>
      </w:r>
      <w:r w:rsidRPr="0070385C">
        <w:rPr>
          <w:rFonts w:ascii="Arial" w:hAnsi="Arial" w:cs="Arial"/>
          <w:sz w:val="21"/>
          <w:szCs w:val="21"/>
        </w:rPr>
        <w:t xml:space="preserve">. </w:t>
      </w:r>
    </w:p>
    <w:p w14:paraId="420D347A" w14:textId="77777777" w:rsidR="00DB4DEB" w:rsidRDefault="00DB4DEB" w:rsidP="00DB4DEB">
      <w:pPr>
        <w:autoSpaceDE w:val="0"/>
        <w:autoSpaceDN w:val="0"/>
        <w:adjustRightInd w:val="0"/>
        <w:rPr>
          <w:rFonts w:ascii="Arial" w:hAnsi="Arial" w:cs="Arial"/>
          <w:sz w:val="21"/>
          <w:szCs w:val="21"/>
        </w:rPr>
      </w:pPr>
    </w:p>
    <w:p w14:paraId="05AACD72" w14:textId="19B19C2B" w:rsidR="00DB4DEB" w:rsidRDefault="00DB4DEB" w:rsidP="00DB4DEB">
      <w:pPr>
        <w:autoSpaceDE w:val="0"/>
        <w:autoSpaceDN w:val="0"/>
        <w:adjustRightInd w:val="0"/>
        <w:rPr>
          <w:rFonts w:ascii="Arial" w:hAnsi="Arial" w:cs="Arial"/>
          <w:color w:val="000000" w:themeColor="text1"/>
          <w:sz w:val="21"/>
          <w:szCs w:val="21"/>
        </w:rPr>
      </w:pPr>
      <w:r w:rsidRPr="00DB4DEB">
        <w:rPr>
          <w:rFonts w:ascii="Arial" w:hAnsi="Arial" w:cs="Arial"/>
          <w:color w:val="FF0000"/>
          <w:sz w:val="21"/>
          <w:szCs w:val="21"/>
        </w:rPr>
        <w:t xml:space="preserve">[Patient] </w:t>
      </w:r>
      <w:r w:rsidR="00E3078D" w:rsidRPr="00EE6F34">
        <w:rPr>
          <w:rFonts w:ascii="Arial" w:hAnsi="Arial" w:cs="Arial"/>
          <w:sz w:val="21"/>
          <w:szCs w:val="21"/>
        </w:rPr>
        <w:t xml:space="preserve">is an adult and </w:t>
      </w:r>
      <w:r w:rsidRPr="0070385C">
        <w:rPr>
          <w:rFonts w:ascii="Arial" w:hAnsi="Arial" w:cs="Arial"/>
          <w:sz w:val="21"/>
          <w:szCs w:val="21"/>
        </w:rPr>
        <w:t xml:space="preserve">has been in my care </w:t>
      </w:r>
      <w:r w:rsidR="00E3078D" w:rsidRPr="00EE6F34">
        <w:rPr>
          <w:rFonts w:ascii="Arial" w:hAnsi="Arial" w:cs="Arial"/>
          <w:sz w:val="21"/>
          <w:szCs w:val="21"/>
        </w:rPr>
        <w:t xml:space="preserve">for the acute treatment of migraine with or without aura </w:t>
      </w:r>
      <w:r w:rsidRPr="0070385C">
        <w:rPr>
          <w:rFonts w:ascii="Arial" w:hAnsi="Arial" w:cs="Arial"/>
          <w:sz w:val="21"/>
          <w:szCs w:val="21"/>
        </w:rPr>
        <w:t xml:space="preserve">since </w:t>
      </w:r>
      <w:r w:rsidRPr="00DB4DEB">
        <w:rPr>
          <w:rFonts w:ascii="Arial" w:hAnsi="Arial" w:cs="Arial"/>
          <w:color w:val="FF0000"/>
          <w:sz w:val="21"/>
          <w:szCs w:val="21"/>
        </w:rPr>
        <w:t>[date]</w:t>
      </w:r>
      <w:r>
        <w:rPr>
          <w:rFonts w:ascii="Arial" w:hAnsi="Arial" w:cs="Arial"/>
          <w:color w:val="FF0000"/>
          <w:sz w:val="21"/>
          <w:szCs w:val="21"/>
        </w:rPr>
        <w:t xml:space="preserve">.  </w:t>
      </w:r>
      <w:r w:rsidRPr="0070385C">
        <w:rPr>
          <w:rFonts w:ascii="Arial" w:hAnsi="Arial" w:cs="Arial"/>
          <w:sz w:val="21"/>
          <w:szCs w:val="21"/>
        </w:rPr>
        <w:t>Based on my clinical judgment</w:t>
      </w:r>
      <w:r w:rsidR="00B271F9">
        <w:rPr>
          <w:rFonts w:ascii="Arial" w:hAnsi="Arial" w:cs="Arial"/>
          <w:sz w:val="21"/>
          <w:szCs w:val="21"/>
        </w:rPr>
        <w:t>,</w:t>
      </w:r>
      <w:r>
        <w:rPr>
          <w:rFonts w:ascii="Arial" w:hAnsi="Arial" w:cs="Arial"/>
          <w:sz w:val="21"/>
          <w:szCs w:val="21"/>
        </w:rPr>
        <w:t xml:space="preserve"> </w:t>
      </w:r>
      <w:r w:rsidR="0027500D">
        <w:rPr>
          <w:rFonts w:ascii="Arial" w:hAnsi="Arial" w:cs="Arial"/>
          <w:sz w:val="21"/>
          <w:szCs w:val="21"/>
        </w:rPr>
        <w:t>Zembrace</w:t>
      </w:r>
      <w:r w:rsidRPr="0070385C">
        <w:rPr>
          <w:rFonts w:ascii="Arial" w:hAnsi="Arial" w:cs="Arial"/>
          <w:sz w:val="21"/>
          <w:szCs w:val="21"/>
        </w:rPr>
        <w:t xml:space="preserve"> </w:t>
      </w:r>
      <w:r w:rsidR="00512C40">
        <w:rPr>
          <w:rFonts w:ascii="Arial" w:hAnsi="Arial" w:cs="Arial"/>
          <w:sz w:val="21"/>
          <w:szCs w:val="21"/>
        </w:rPr>
        <w:t xml:space="preserve">SymTouch </w:t>
      </w:r>
      <w:r w:rsidRPr="0070385C">
        <w:rPr>
          <w:rFonts w:ascii="Arial" w:hAnsi="Arial" w:cs="Arial"/>
          <w:sz w:val="21"/>
          <w:szCs w:val="21"/>
        </w:rPr>
        <w:t xml:space="preserve">is specifically medically necessary for </w:t>
      </w:r>
      <w:r w:rsidRPr="00DB4DEB">
        <w:rPr>
          <w:rFonts w:ascii="Arial" w:hAnsi="Arial" w:cs="Arial"/>
          <w:color w:val="FF0000"/>
          <w:sz w:val="21"/>
          <w:szCs w:val="21"/>
        </w:rPr>
        <w:t>[</w:t>
      </w:r>
      <w:r w:rsidR="00D57DB6">
        <w:rPr>
          <w:rFonts w:ascii="Arial" w:hAnsi="Arial" w:cs="Arial"/>
          <w:color w:val="FF0000"/>
          <w:sz w:val="21"/>
          <w:szCs w:val="21"/>
        </w:rPr>
        <w:t>P</w:t>
      </w:r>
      <w:r w:rsidRPr="00DB4DEB">
        <w:rPr>
          <w:rFonts w:ascii="Arial" w:hAnsi="Arial" w:cs="Arial"/>
          <w:color w:val="FF0000"/>
          <w:sz w:val="21"/>
          <w:szCs w:val="21"/>
        </w:rPr>
        <w:t>atient]</w:t>
      </w:r>
      <w:r w:rsidR="00E3078D">
        <w:rPr>
          <w:rFonts w:ascii="Arial" w:hAnsi="Arial" w:cs="Arial"/>
          <w:color w:val="000000" w:themeColor="text1"/>
          <w:sz w:val="21"/>
          <w:szCs w:val="21"/>
        </w:rPr>
        <w:t xml:space="preserve"> </w:t>
      </w:r>
      <w:r w:rsidRPr="0070385C">
        <w:rPr>
          <w:rFonts w:ascii="Arial" w:hAnsi="Arial" w:cs="Arial"/>
          <w:color w:val="000000" w:themeColor="text1"/>
          <w:sz w:val="21"/>
          <w:szCs w:val="21"/>
        </w:rPr>
        <w:t>because</w:t>
      </w:r>
      <w:bookmarkStart w:id="0" w:name="_Hlk51932312"/>
      <w:r>
        <w:rPr>
          <w:rFonts w:ascii="Arial" w:hAnsi="Arial" w:cs="Arial"/>
          <w:color w:val="000000" w:themeColor="text1"/>
          <w:sz w:val="21"/>
          <w:szCs w:val="21"/>
        </w:rPr>
        <w:t>:</w:t>
      </w:r>
    </w:p>
    <w:p w14:paraId="6066B686" w14:textId="57E7691C" w:rsidR="00DB4DEB" w:rsidRDefault="00DB4DEB" w:rsidP="00DB4DEB">
      <w:pPr>
        <w:autoSpaceDE w:val="0"/>
        <w:autoSpaceDN w:val="0"/>
        <w:adjustRightInd w:val="0"/>
        <w:rPr>
          <w:rFonts w:ascii="Arial" w:hAnsi="Arial" w:cs="Arial"/>
          <w:color w:val="000000" w:themeColor="text1"/>
          <w:sz w:val="21"/>
          <w:szCs w:val="21"/>
        </w:rPr>
      </w:pPr>
    </w:p>
    <w:p w14:paraId="022DA447" w14:textId="789D4B4A" w:rsidR="00DC1CDD" w:rsidRDefault="00DC1CDD" w:rsidP="00DC1CDD">
      <w:pPr>
        <w:pStyle w:val="ListParagraph"/>
        <w:autoSpaceDE w:val="0"/>
        <w:autoSpaceDN w:val="0"/>
        <w:adjustRightInd w:val="0"/>
        <w:ind w:left="0"/>
        <w:rPr>
          <w:rFonts w:ascii="Arial" w:hAnsi="Arial" w:cs="Arial"/>
          <w:color w:val="FF0000"/>
          <w:sz w:val="21"/>
          <w:szCs w:val="21"/>
        </w:rPr>
      </w:pPr>
      <w:r w:rsidRPr="006E13EB">
        <w:rPr>
          <w:rFonts w:ascii="Arial" w:hAnsi="Arial" w:cs="Arial"/>
          <w:i/>
          <w:iCs/>
          <w:color w:val="FF0000"/>
          <w:sz w:val="21"/>
          <w:szCs w:val="21"/>
        </w:rPr>
        <w:t xml:space="preserve">[Select your rationale for prescribing </w:t>
      </w:r>
      <w:r w:rsidR="00C973C0">
        <w:rPr>
          <w:rFonts w:ascii="Arial" w:hAnsi="Arial" w:cs="Arial"/>
          <w:i/>
          <w:iCs/>
          <w:color w:val="FF0000"/>
          <w:sz w:val="21"/>
          <w:szCs w:val="21"/>
        </w:rPr>
        <w:t>Zembrace SymTouch</w:t>
      </w:r>
      <w:r w:rsidRPr="006E13EB">
        <w:rPr>
          <w:rFonts w:ascii="Arial" w:hAnsi="Arial" w:cs="Arial"/>
          <w:i/>
          <w:iCs/>
          <w:color w:val="FF0000"/>
          <w:sz w:val="21"/>
          <w:szCs w:val="21"/>
        </w:rPr>
        <w:t xml:space="preserve"> from the list below; delete items not applicable and add additional rationale as applicable for your patient].</w:t>
      </w:r>
    </w:p>
    <w:p w14:paraId="63B8470A" w14:textId="77777777" w:rsidR="00DC1CDD" w:rsidRDefault="00DC1CDD" w:rsidP="00DB4DEB">
      <w:pPr>
        <w:autoSpaceDE w:val="0"/>
        <w:autoSpaceDN w:val="0"/>
        <w:adjustRightInd w:val="0"/>
        <w:rPr>
          <w:rFonts w:ascii="Arial" w:hAnsi="Arial" w:cs="Arial"/>
          <w:color w:val="000000" w:themeColor="text1"/>
          <w:sz w:val="21"/>
          <w:szCs w:val="21"/>
        </w:rPr>
      </w:pPr>
    </w:p>
    <w:bookmarkEnd w:id="0"/>
    <w:p w14:paraId="7CD86205" w14:textId="77777777" w:rsidR="003E6C33" w:rsidRPr="00B229C4" w:rsidRDefault="003E6C33" w:rsidP="003E6C33">
      <w:pPr>
        <w:pStyle w:val="ListParagraph"/>
        <w:numPr>
          <w:ilvl w:val="0"/>
          <w:numId w:val="2"/>
        </w:numPr>
        <w:autoSpaceDE w:val="0"/>
        <w:autoSpaceDN w:val="0"/>
        <w:adjustRightInd w:val="0"/>
        <w:rPr>
          <w:rFonts w:ascii="Arial" w:hAnsi="Arial" w:cs="Arial"/>
          <w:i/>
          <w:iCs/>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 xml:space="preserve">has migraines with nausea/vomiting that prohibit the use of oral triptans. </w:t>
      </w:r>
      <w:r w:rsidRPr="00B229C4">
        <w:rPr>
          <w:rFonts w:ascii="Arial" w:hAnsi="Arial" w:cs="Arial"/>
          <w:i/>
          <w:iCs/>
          <w:sz w:val="21"/>
          <w:szCs w:val="21"/>
        </w:rPr>
        <w:t>AHS recommends a non-oral triptan for such patients.</w:t>
      </w:r>
      <w:r w:rsidRPr="00B229C4">
        <w:rPr>
          <w:rFonts w:ascii="Arial" w:hAnsi="Arial" w:cs="Arial"/>
          <w:i/>
          <w:iCs/>
          <w:sz w:val="21"/>
          <w:szCs w:val="21"/>
          <w:vertAlign w:val="superscript"/>
        </w:rPr>
        <w:t>1,2</w:t>
      </w:r>
    </w:p>
    <w:p w14:paraId="143556F3"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 xml:space="preserve">has </w:t>
      </w:r>
      <w:r w:rsidRPr="00B229C4">
        <w:rPr>
          <w:rFonts w:ascii="Arial" w:hAnsi="Arial" w:cs="Arial"/>
          <w:color w:val="FF0000"/>
          <w:sz w:val="21"/>
          <w:szCs w:val="21"/>
        </w:rPr>
        <w:t xml:space="preserve">[morning OR </w:t>
      </w:r>
      <w:proofErr w:type="gramStart"/>
      <w:r w:rsidRPr="00B229C4">
        <w:rPr>
          <w:rFonts w:ascii="Arial" w:hAnsi="Arial" w:cs="Arial"/>
          <w:color w:val="FF0000"/>
          <w:sz w:val="21"/>
          <w:szCs w:val="21"/>
        </w:rPr>
        <w:t>rapid</w:t>
      </w:r>
      <w:r>
        <w:rPr>
          <w:rFonts w:ascii="Arial" w:hAnsi="Arial" w:cs="Arial"/>
          <w:color w:val="FF0000"/>
          <w:sz w:val="21"/>
          <w:szCs w:val="21"/>
        </w:rPr>
        <w:t>-</w:t>
      </w:r>
      <w:r w:rsidRPr="00B229C4">
        <w:rPr>
          <w:rFonts w:ascii="Arial" w:hAnsi="Arial" w:cs="Arial"/>
          <w:color w:val="FF0000"/>
          <w:sz w:val="21"/>
          <w:szCs w:val="21"/>
        </w:rPr>
        <w:t>onset</w:t>
      </w:r>
      <w:proofErr w:type="gramEnd"/>
      <w:r w:rsidRPr="00B229C4">
        <w:rPr>
          <w:rFonts w:ascii="Arial" w:hAnsi="Arial" w:cs="Arial"/>
          <w:color w:val="FF0000"/>
          <w:sz w:val="21"/>
          <w:szCs w:val="21"/>
        </w:rPr>
        <w:t xml:space="preserve">] </w:t>
      </w:r>
      <w:r w:rsidRPr="00B229C4">
        <w:rPr>
          <w:rFonts w:ascii="Arial" w:hAnsi="Arial" w:cs="Arial"/>
          <w:sz w:val="21"/>
          <w:szCs w:val="21"/>
        </w:rPr>
        <w:t xml:space="preserve">migraines for which an oral triptan is NOT appropriate due to slow onset of action.  </w:t>
      </w:r>
      <w:r w:rsidRPr="00B229C4">
        <w:rPr>
          <w:rFonts w:ascii="Arial" w:hAnsi="Arial" w:cs="Arial"/>
          <w:i/>
          <w:iCs/>
          <w:sz w:val="21"/>
          <w:szCs w:val="21"/>
        </w:rPr>
        <w:t xml:space="preserve">AHS recommends a non-oral triptan for </w:t>
      </w:r>
      <w:r>
        <w:rPr>
          <w:rFonts w:ascii="Arial" w:hAnsi="Arial" w:cs="Arial"/>
          <w:i/>
          <w:iCs/>
          <w:sz w:val="21"/>
          <w:szCs w:val="21"/>
        </w:rPr>
        <w:t>morning or rapid-onset migraines</w:t>
      </w:r>
      <w:r w:rsidRPr="00B229C4">
        <w:rPr>
          <w:rFonts w:ascii="Arial" w:hAnsi="Arial" w:cs="Arial"/>
          <w:i/>
          <w:iCs/>
          <w:sz w:val="21"/>
          <w:szCs w:val="21"/>
        </w:rPr>
        <w:t>,</w:t>
      </w:r>
      <w:r w:rsidRPr="00B229C4">
        <w:rPr>
          <w:rFonts w:ascii="Arial" w:hAnsi="Arial" w:cs="Arial"/>
          <w:i/>
          <w:iCs/>
          <w:sz w:val="21"/>
          <w:szCs w:val="21"/>
          <w:vertAlign w:val="superscript"/>
        </w:rPr>
        <w:t>2</w:t>
      </w:r>
      <w:r w:rsidRPr="00B229C4">
        <w:rPr>
          <w:rFonts w:ascii="Arial" w:hAnsi="Arial" w:cs="Arial"/>
          <w:i/>
          <w:iCs/>
          <w:sz w:val="21"/>
          <w:szCs w:val="21"/>
        </w:rPr>
        <w:t xml:space="preserve"> </w:t>
      </w:r>
      <w:r w:rsidRPr="00B229C4">
        <w:rPr>
          <w:rFonts w:ascii="Arial" w:hAnsi="Arial" w:cs="Arial"/>
          <w:sz w:val="21"/>
          <w:szCs w:val="21"/>
        </w:rPr>
        <w:t>to provide rapid pain relief and minimize migraine-associated disability.</w:t>
      </w:r>
      <w:r w:rsidRPr="00B229C4">
        <w:rPr>
          <w:rFonts w:ascii="Arial" w:hAnsi="Arial" w:cs="Arial"/>
          <w:i/>
          <w:iCs/>
          <w:sz w:val="21"/>
          <w:szCs w:val="21"/>
        </w:rPr>
        <w:t xml:space="preserve">  </w:t>
      </w:r>
      <w:r w:rsidRPr="00B229C4">
        <w:rPr>
          <w:rFonts w:ascii="Arial" w:hAnsi="Arial" w:cs="Arial"/>
          <w:sz w:val="21"/>
          <w:szCs w:val="21"/>
        </w:rPr>
        <w:t>Zembrace SymTouch provides onset of pain relief in as few as 10 minutes.</w:t>
      </w:r>
      <w:r w:rsidRPr="00B229C4">
        <w:rPr>
          <w:rFonts w:ascii="Arial" w:hAnsi="Arial" w:cs="Arial"/>
          <w:sz w:val="21"/>
          <w:szCs w:val="21"/>
          <w:vertAlign w:val="superscript"/>
        </w:rPr>
        <w:t>3</w:t>
      </w:r>
    </w:p>
    <w:p w14:paraId="5D5568F0"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proofErr w:type="gramStart"/>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has</w:t>
      </w:r>
      <w:proofErr w:type="gramEnd"/>
      <w:r w:rsidRPr="00B229C4">
        <w:rPr>
          <w:rFonts w:ascii="Arial" w:hAnsi="Arial" w:cs="Arial"/>
          <w:sz w:val="21"/>
          <w:szCs w:val="21"/>
        </w:rPr>
        <w:t xml:space="preserve"> migraines of varying presentation, including some with </w:t>
      </w:r>
      <w:r w:rsidRPr="00B229C4">
        <w:rPr>
          <w:rFonts w:ascii="Arial" w:hAnsi="Arial" w:cs="Arial"/>
          <w:color w:val="FF0000"/>
          <w:sz w:val="21"/>
          <w:szCs w:val="21"/>
        </w:rPr>
        <w:t xml:space="preserve">[nausea/vomiting, morning onset, </w:t>
      </w:r>
      <w:proofErr w:type="gramStart"/>
      <w:r w:rsidRPr="00B229C4">
        <w:rPr>
          <w:rFonts w:ascii="Arial" w:hAnsi="Arial" w:cs="Arial"/>
          <w:color w:val="FF0000"/>
          <w:sz w:val="21"/>
          <w:szCs w:val="21"/>
        </w:rPr>
        <w:t>rapid</w:t>
      </w:r>
      <w:r>
        <w:rPr>
          <w:rFonts w:ascii="Arial" w:hAnsi="Arial" w:cs="Arial"/>
          <w:color w:val="FF0000"/>
          <w:sz w:val="21"/>
          <w:szCs w:val="21"/>
        </w:rPr>
        <w:t>-</w:t>
      </w:r>
      <w:r w:rsidRPr="00B229C4">
        <w:rPr>
          <w:rFonts w:ascii="Arial" w:hAnsi="Arial" w:cs="Arial"/>
          <w:color w:val="FF0000"/>
          <w:sz w:val="21"/>
          <w:szCs w:val="21"/>
        </w:rPr>
        <w:t>onset</w:t>
      </w:r>
      <w:proofErr w:type="gramEnd"/>
      <w:r w:rsidRPr="00B229C4">
        <w:rPr>
          <w:rFonts w:ascii="Arial" w:hAnsi="Arial" w:cs="Arial"/>
          <w:color w:val="FF0000"/>
          <w:sz w:val="21"/>
          <w:szCs w:val="21"/>
        </w:rPr>
        <w:t>]</w:t>
      </w:r>
      <w:r w:rsidRPr="00B229C4">
        <w:rPr>
          <w:rFonts w:ascii="Arial" w:hAnsi="Arial" w:cs="Arial"/>
          <w:sz w:val="21"/>
          <w:szCs w:val="21"/>
        </w:rPr>
        <w:t xml:space="preserve">, requiring a non-oral AND oral triptan to manage all migraine types. </w:t>
      </w:r>
      <w:r w:rsidRPr="00B229C4">
        <w:rPr>
          <w:rFonts w:ascii="Arial" w:hAnsi="Arial" w:cs="Arial"/>
          <w:i/>
          <w:iCs/>
          <w:sz w:val="21"/>
          <w:szCs w:val="21"/>
        </w:rPr>
        <w:t>AHS recommends a non-oral triptan for such patients.</w:t>
      </w:r>
      <w:r w:rsidRPr="00B229C4">
        <w:rPr>
          <w:rFonts w:ascii="Arial" w:hAnsi="Arial" w:cs="Arial"/>
          <w:i/>
          <w:iCs/>
          <w:sz w:val="21"/>
          <w:szCs w:val="21"/>
          <w:vertAlign w:val="superscript"/>
        </w:rPr>
        <w:t xml:space="preserve">1,2   </w:t>
      </w:r>
    </w:p>
    <w:p w14:paraId="30A7B606"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is UNABLE to swallow solid oral dosage forms and requires a non-oral treatment.</w:t>
      </w:r>
    </w:p>
    <w:p w14:paraId="2CFEE12B" w14:textId="79E9D55B" w:rsidR="003E6C33" w:rsidRPr="00B229C4" w:rsidRDefault="003E6C33" w:rsidP="003E6C33">
      <w:pPr>
        <w:pStyle w:val="ListParagraph"/>
        <w:numPr>
          <w:ilvl w:val="0"/>
          <w:numId w:val="2"/>
        </w:numPr>
        <w:autoSpaceDE w:val="0"/>
        <w:autoSpaceDN w:val="0"/>
        <w:adjustRightInd w:val="0"/>
        <w:ind w:right="9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 xml:space="preserve">has failed an adequate trial of generic sumatriptan injection </w:t>
      </w:r>
      <w:r w:rsidRPr="00B229C4">
        <w:rPr>
          <w:rFonts w:ascii="Arial" w:hAnsi="Arial" w:cs="Arial"/>
          <w:color w:val="FF0000"/>
          <w:sz w:val="21"/>
          <w:szCs w:val="21"/>
        </w:rPr>
        <w:t>[6 mg]</w:t>
      </w:r>
      <w:r w:rsidRPr="00B229C4">
        <w:rPr>
          <w:rFonts w:ascii="Arial" w:hAnsi="Arial" w:cs="Arial"/>
          <w:sz w:val="21"/>
          <w:szCs w:val="21"/>
        </w:rPr>
        <w:t xml:space="preserve"> due to </w:t>
      </w:r>
      <w:r w:rsidRPr="00B229C4">
        <w:rPr>
          <w:rFonts w:ascii="Arial" w:hAnsi="Arial" w:cs="Arial"/>
          <w:color w:val="FF0000"/>
          <w:sz w:val="21"/>
          <w:szCs w:val="21"/>
        </w:rPr>
        <w:t>[intolerable dose-related side effect]</w:t>
      </w:r>
      <w:r w:rsidRPr="00B229C4">
        <w:rPr>
          <w:rFonts w:ascii="Arial" w:hAnsi="Arial" w:cs="Arial"/>
          <w:sz w:val="21"/>
          <w:szCs w:val="21"/>
        </w:rPr>
        <w:t>.  Zembrace SymTouch is the</w:t>
      </w:r>
      <w:r w:rsidR="001F09EB">
        <w:rPr>
          <w:rFonts w:ascii="Arial" w:hAnsi="Arial" w:cs="Arial"/>
          <w:sz w:val="21"/>
          <w:szCs w:val="21"/>
        </w:rPr>
        <w:t xml:space="preserve"> </w:t>
      </w:r>
      <w:r w:rsidRPr="00B229C4">
        <w:rPr>
          <w:rFonts w:ascii="Arial" w:hAnsi="Arial" w:cs="Arial"/>
          <w:sz w:val="21"/>
          <w:szCs w:val="21"/>
        </w:rPr>
        <w:t xml:space="preserve">only </w:t>
      </w:r>
      <w:r w:rsidR="00487B6B">
        <w:rPr>
          <w:rFonts w:ascii="Arial" w:hAnsi="Arial" w:cs="Arial"/>
          <w:sz w:val="21"/>
          <w:szCs w:val="21"/>
        </w:rPr>
        <w:t xml:space="preserve">sumatriptan injection </w:t>
      </w:r>
      <w:r w:rsidRPr="00B229C4">
        <w:rPr>
          <w:rFonts w:ascii="Arial" w:hAnsi="Arial" w:cs="Arial"/>
          <w:sz w:val="21"/>
          <w:szCs w:val="21"/>
        </w:rPr>
        <w:t xml:space="preserve">to offer </w:t>
      </w:r>
      <w:r w:rsidR="001F09EB">
        <w:rPr>
          <w:rFonts w:ascii="Arial" w:hAnsi="Arial" w:cs="Arial"/>
          <w:sz w:val="21"/>
          <w:szCs w:val="21"/>
        </w:rPr>
        <w:t>less than 6mg</w:t>
      </w:r>
      <w:r w:rsidR="00AF42AE">
        <w:rPr>
          <w:rFonts w:ascii="Arial" w:hAnsi="Arial" w:cs="Arial"/>
          <w:sz w:val="21"/>
          <w:szCs w:val="21"/>
        </w:rPr>
        <w:t xml:space="preserve"> </w:t>
      </w:r>
      <w:r w:rsidR="00AF42AE" w:rsidRPr="000E1829">
        <w:rPr>
          <w:rFonts w:ascii="Arial" w:hAnsi="Arial" w:cs="Arial"/>
          <w:sz w:val="21"/>
          <w:szCs w:val="21"/>
        </w:rPr>
        <w:t xml:space="preserve">which </w:t>
      </w:r>
      <w:r w:rsidR="002A262D" w:rsidRPr="000E1829">
        <w:rPr>
          <w:rFonts w:ascii="Arial" w:hAnsi="Arial" w:cs="Arial"/>
          <w:sz w:val="21"/>
          <w:szCs w:val="21"/>
        </w:rPr>
        <w:t>is the lowest effective dose in a sumatriptan autoinjector</w:t>
      </w:r>
      <w:r w:rsidRPr="000E1829">
        <w:rPr>
          <w:rFonts w:ascii="Arial" w:hAnsi="Arial" w:cs="Arial"/>
          <w:sz w:val="21"/>
          <w:szCs w:val="21"/>
        </w:rPr>
        <w:t>.</w:t>
      </w:r>
    </w:p>
    <w:p w14:paraId="4910F20E" w14:textId="1BBD550A"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 xml:space="preserve">has failed an adequate trial of generic sumatriptan injection due to </w:t>
      </w:r>
      <w:r w:rsidRPr="00B229C4">
        <w:rPr>
          <w:rFonts w:ascii="Arial" w:hAnsi="Arial" w:cs="Arial"/>
          <w:color w:val="FF0000"/>
          <w:sz w:val="21"/>
          <w:szCs w:val="21"/>
        </w:rPr>
        <w:t>[a severe injection site reaction]</w:t>
      </w:r>
      <w:r w:rsidRPr="00B229C4">
        <w:rPr>
          <w:rFonts w:ascii="Arial" w:hAnsi="Arial" w:cs="Arial"/>
          <w:sz w:val="21"/>
          <w:szCs w:val="21"/>
        </w:rPr>
        <w:t xml:space="preserve">.  Zembrace SymTouch </w:t>
      </w:r>
      <w:r>
        <w:rPr>
          <w:rFonts w:ascii="Arial" w:hAnsi="Arial" w:cs="Arial"/>
          <w:sz w:val="21"/>
          <w:szCs w:val="21"/>
        </w:rPr>
        <w:t>offers</w:t>
      </w:r>
      <w:r w:rsidRPr="00B229C4">
        <w:rPr>
          <w:rFonts w:ascii="Arial" w:hAnsi="Arial" w:cs="Arial"/>
          <w:sz w:val="21"/>
          <w:szCs w:val="21"/>
        </w:rPr>
        <w:t xml:space="preserve"> the smallest needle in the sumatriptan autoinjector class and delivers a less concentrated sumatriptan solution.</w:t>
      </w:r>
      <w:r w:rsidRPr="00DE1101">
        <w:rPr>
          <w:rFonts w:ascii="Arial" w:hAnsi="Arial" w:cs="Arial"/>
          <w:sz w:val="21"/>
          <w:szCs w:val="21"/>
          <w:vertAlign w:val="superscript"/>
        </w:rPr>
        <w:t>4</w:t>
      </w:r>
    </w:p>
    <w:p w14:paraId="2A22EF36"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 xml:space="preserve">exhibits symptoms consistent with migraine-associated gastroparesis, which compromises the ability to absorb oral medications.  Therefore, </w:t>
      </w: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 xml:space="preserve">requires an injectable therapy that bypasses the GI tract.  </w:t>
      </w:r>
    </w:p>
    <w:p w14:paraId="193FA237"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is at risk of progressing to chronic migraine if adequate control of migraines is not established.</w:t>
      </w:r>
    </w:p>
    <w:p w14:paraId="393EE947"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w:t>
      </w:r>
      <w:r w:rsidRPr="00B229C4">
        <w:rPr>
          <w:rFonts w:ascii="Arial" w:hAnsi="Arial" w:cs="Arial"/>
          <w:color w:val="FF0000"/>
          <w:sz w:val="21"/>
          <w:szCs w:val="21"/>
        </w:rPr>
        <w:t>Patient</w:t>
      </w:r>
      <w:r>
        <w:rPr>
          <w:rFonts w:ascii="Arial" w:hAnsi="Arial" w:cs="Arial"/>
          <w:color w:val="FF0000"/>
          <w:sz w:val="21"/>
          <w:szCs w:val="21"/>
        </w:rPr>
        <w:t>]</w:t>
      </w:r>
      <w:r w:rsidRPr="00B229C4">
        <w:rPr>
          <w:rFonts w:ascii="Arial" w:hAnsi="Arial" w:cs="Arial"/>
          <w:color w:val="FF0000"/>
          <w:sz w:val="21"/>
          <w:szCs w:val="21"/>
        </w:rPr>
        <w:t xml:space="preserve"> </w:t>
      </w:r>
      <w:r w:rsidRPr="00B229C4">
        <w:rPr>
          <w:rFonts w:ascii="Arial" w:hAnsi="Arial" w:cs="Arial"/>
          <w:sz w:val="21"/>
          <w:szCs w:val="21"/>
        </w:rPr>
        <w:t>experiences migraine-associated cognitive dysfunction, which requires the patient to receive Zembrace SymTouch because it needs no assembly prior to use and has a simple two-step administration process that the patient has been adequately trained on by my office staff.</w:t>
      </w:r>
    </w:p>
    <w:p w14:paraId="3D8825B4" w14:textId="77777777" w:rsidR="003E6C33" w:rsidRPr="00B271F9" w:rsidRDefault="003E6C33" w:rsidP="003E6C33">
      <w:pPr>
        <w:pStyle w:val="ListParagraph"/>
        <w:numPr>
          <w:ilvl w:val="0"/>
          <w:numId w:val="2"/>
        </w:numPr>
        <w:autoSpaceDE w:val="0"/>
        <w:autoSpaceDN w:val="0"/>
        <w:adjustRightInd w:val="0"/>
        <w:rPr>
          <w:rFonts w:ascii="Arial" w:hAnsi="Arial" w:cs="Arial"/>
          <w:sz w:val="21"/>
          <w:szCs w:val="21"/>
        </w:rPr>
      </w:pPr>
      <w:r>
        <w:rPr>
          <w:rFonts w:ascii="Arial" w:hAnsi="Arial" w:cs="Arial"/>
          <w:color w:val="FF0000"/>
          <w:sz w:val="21"/>
          <w:szCs w:val="21"/>
        </w:rPr>
        <w:t>[Other]</w:t>
      </w:r>
    </w:p>
    <w:p w14:paraId="0C2D97FA" w14:textId="270F266F" w:rsidR="000B4B74" w:rsidRDefault="000B4B74" w:rsidP="000B4B74">
      <w:pPr>
        <w:pStyle w:val="ListParagraph"/>
        <w:autoSpaceDE w:val="0"/>
        <w:autoSpaceDN w:val="0"/>
        <w:adjustRightInd w:val="0"/>
        <w:rPr>
          <w:rFonts w:ascii="Arial" w:hAnsi="Arial" w:cs="Arial"/>
          <w:sz w:val="21"/>
          <w:szCs w:val="21"/>
        </w:rPr>
      </w:pPr>
    </w:p>
    <w:p w14:paraId="0B423F01" w14:textId="77777777" w:rsidR="003E6C33" w:rsidRPr="000B4B74" w:rsidRDefault="003E6C33" w:rsidP="000B4B74">
      <w:pPr>
        <w:pStyle w:val="ListParagraph"/>
        <w:autoSpaceDE w:val="0"/>
        <w:autoSpaceDN w:val="0"/>
        <w:adjustRightInd w:val="0"/>
        <w:rPr>
          <w:rFonts w:ascii="Arial" w:hAnsi="Arial" w:cs="Arial"/>
          <w:sz w:val="21"/>
          <w:szCs w:val="21"/>
        </w:rPr>
      </w:pPr>
    </w:p>
    <w:p w14:paraId="65894267" w14:textId="4DC0D67E" w:rsidR="00B271F9" w:rsidRDefault="00DB4DEB" w:rsidP="00B271F9">
      <w:pPr>
        <w:autoSpaceDE w:val="0"/>
        <w:autoSpaceDN w:val="0"/>
        <w:adjustRightInd w:val="0"/>
        <w:rPr>
          <w:rFonts w:ascii="Arial" w:hAnsi="Arial" w:cs="Arial"/>
          <w:sz w:val="21"/>
          <w:szCs w:val="21"/>
        </w:rPr>
      </w:pPr>
      <w:r w:rsidRPr="00CF5033">
        <w:rPr>
          <w:rFonts w:ascii="Arial" w:hAnsi="Arial" w:cs="Arial"/>
          <w:color w:val="FF0000"/>
          <w:sz w:val="21"/>
          <w:szCs w:val="21"/>
        </w:rPr>
        <w:lastRenderedPageBreak/>
        <w:t xml:space="preserve">[Patient] </w:t>
      </w:r>
      <w:r w:rsidRPr="0070385C">
        <w:rPr>
          <w:rFonts w:ascii="Arial" w:hAnsi="Arial" w:cs="Arial"/>
          <w:sz w:val="21"/>
          <w:szCs w:val="21"/>
        </w:rPr>
        <w:t xml:space="preserve">is a </w:t>
      </w:r>
      <w:r w:rsidRPr="00CF5033">
        <w:rPr>
          <w:rFonts w:ascii="Arial" w:hAnsi="Arial" w:cs="Arial"/>
          <w:color w:val="FF0000"/>
          <w:sz w:val="21"/>
          <w:szCs w:val="21"/>
        </w:rPr>
        <w:t>[age]</w:t>
      </w:r>
      <w:r w:rsidRPr="0070385C">
        <w:rPr>
          <w:rFonts w:ascii="Arial" w:hAnsi="Arial" w:cs="Arial"/>
          <w:sz w:val="21"/>
          <w:szCs w:val="21"/>
        </w:rPr>
        <w:t xml:space="preserve">-year-old </w:t>
      </w:r>
      <w:r w:rsidRPr="00CF5033">
        <w:rPr>
          <w:rFonts w:ascii="Arial" w:hAnsi="Arial" w:cs="Arial"/>
          <w:color w:val="FF0000"/>
          <w:sz w:val="21"/>
          <w:szCs w:val="21"/>
        </w:rPr>
        <w:t xml:space="preserve">[male/female] </w:t>
      </w:r>
      <w:r w:rsidRPr="0070385C">
        <w:rPr>
          <w:rFonts w:ascii="Arial" w:hAnsi="Arial" w:cs="Arial"/>
          <w:sz w:val="21"/>
          <w:szCs w:val="21"/>
        </w:rPr>
        <w:t>who suffers from</w:t>
      </w:r>
      <w:r>
        <w:rPr>
          <w:rFonts w:ascii="Arial" w:hAnsi="Arial" w:cs="Arial"/>
          <w:sz w:val="21"/>
          <w:szCs w:val="21"/>
        </w:rPr>
        <w:t xml:space="preserve"> </w:t>
      </w:r>
      <w:r w:rsidR="00B271F9">
        <w:rPr>
          <w:rFonts w:ascii="Arial" w:hAnsi="Arial" w:cs="Arial"/>
          <w:sz w:val="21"/>
          <w:szCs w:val="21"/>
        </w:rPr>
        <w:t xml:space="preserve">acute migraines </w:t>
      </w:r>
      <w:r w:rsidR="00B271F9" w:rsidRPr="00B271F9">
        <w:rPr>
          <w:rFonts w:ascii="Arial" w:hAnsi="Arial" w:cs="Arial"/>
          <w:color w:val="FF0000"/>
          <w:sz w:val="21"/>
          <w:szCs w:val="21"/>
        </w:rPr>
        <w:t>[ICD-10-CM diagnosis code</w:t>
      </w:r>
      <w:r w:rsidR="00B271F9" w:rsidRPr="00C95FA8">
        <w:rPr>
          <w:rFonts w:ascii="Arial" w:hAnsi="Arial" w:cs="Arial"/>
          <w:color w:val="FF0000"/>
          <w:sz w:val="21"/>
          <w:szCs w:val="21"/>
        </w:rPr>
        <w:t>]</w:t>
      </w:r>
      <w:r w:rsidR="00B271F9" w:rsidRPr="00C95FA8">
        <w:rPr>
          <w:rFonts w:ascii="Arial" w:hAnsi="Arial" w:cs="Arial"/>
          <w:sz w:val="21"/>
          <w:szCs w:val="21"/>
        </w:rPr>
        <w:t xml:space="preserve"> </w:t>
      </w:r>
    </w:p>
    <w:p w14:paraId="0A0A4752" w14:textId="3CB59CDC" w:rsidR="00B271F9" w:rsidRDefault="00B271F9" w:rsidP="00DB4DEB">
      <w:pPr>
        <w:autoSpaceDE w:val="0"/>
        <w:autoSpaceDN w:val="0"/>
        <w:adjustRightInd w:val="0"/>
        <w:rPr>
          <w:rFonts w:ascii="Arial" w:hAnsi="Arial" w:cs="Arial"/>
          <w:sz w:val="21"/>
          <w:szCs w:val="21"/>
        </w:rPr>
      </w:pPr>
      <w:r>
        <w:rPr>
          <w:rFonts w:ascii="Arial" w:hAnsi="Arial" w:cs="Arial"/>
          <w:sz w:val="21"/>
          <w:szCs w:val="21"/>
        </w:rPr>
        <w:t xml:space="preserve">with a frequency of </w:t>
      </w:r>
      <w:r w:rsidRPr="00B271F9">
        <w:rPr>
          <w:rFonts w:ascii="Arial" w:hAnsi="Arial" w:cs="Arial"/>
          <w:color w:val="FF0000"/>
          <w:sz w:val="21"/>
          <w:szCs w:val="21"/>
        </w:rPr>
        <w:t>[number</w:t>
      </w:r>
      <w:r>
        <w:rPr>
          <w:rFonts w:ascii="Arial" w:hAnsi="Arial" w:cs="Arial"/>
          <w:color w:val="FF0000"/>
          <w:sz w:val="21"/>
          <w:szCs w:val="21"/>
        </w:rPr>
        <w:t>]</w:t>
      </w:r>
      <w:r w:rsidRPr="00B271F9">
        <w:rPr>
          <w:rFonts w:ascii="Arial" w:hAnsi="Arial" w:cs="Arial"/>
          <w:color w:val="FF0000"/>
          <w:sz w:val="21"/>
          <w:szCs w:val="21"/>
        </w:rPr>
        <w:t xml:space="preserve"> </w:t>
      </w:r>
      <w:r w:rsidRPr="00B271F9">
        <w:rPr>
          <w:rFonts w:ascii="Arial" w:hAnsi="Arial" w:cs="Arial"/>
          <w:sz w:val="21"/>
          <w:szCs w:val="21"/>
        </w:rPr>
        <w:t xml:space="preserve">headache days per month.  </w:t>
      </w:r>
      <w:r w:rsidR="00412E22">
        <w:rPr>
          <w:rFonts w:ascii="Arial" w:hAnsi="Arial" w:cs="Arial"/>
          <w:sz w:val="21"/>
          <w:szCs w:val="21"/>
        </w:rPr>
        <w:t xml:space="preserve"> </w:t>
      </w:r>
      <w:r w:rsidR="00412E22" w:rsidRPr="00F13AD3">
        <w:rPr>
          <w:rFonts w:ascii="Arial" w:hAnsi="Arial" w:cs="Arial"/>
          <w:color w:val="FF0000"/>
          <w:sz w:val="21"/>
          <w:szCs w:val="21"/>
        </w:rPr>
        <w:t xml:space="preserve">[He/She] </w:t>
      </w:r>
      <w:r w:rsidR="00412E22">
        <w:rPr>
          <w:rFonts w:ascii="Arial" w:hAnsi="Arial" w:cs="Arial"/>
          <w:sz w:val="21"/>
          <w:szCs w:val="21"/>
        </w:rPr>
        <w:t xml:space="preserve">was referred to me for care by </w:t>
      </w:r>
      <w:r w:rsidR="00412E22" w:rsidRPr="00F13AD3">
        <w:rPr>
          <w:rFonts w:ascii="Arial" w:hAnsi="Arial" w:cs="Arial"/>
          <w:color w:val="FF0000"/>
          <w:sz w:val="21"/>
          <w:szCs w:val="21"/>
        </w:rPr>
        <w:t>[Referring provider</w:t>
      </w:r>
      <w:r w:rsidR="00822DD5">
        <w:rPr>
          <w:rFonts w:ascii="Arial" w:hAnsi="Arial" w:cs="Arial"/>
          <w:color w:val="FF0000"/>
          <w:sz w:val="21"/>
          <w:szCs w:val="21"/>
        </w:rPr>
        <w:t>, specialty</w:t>
      </w:r>
      <w:r w:rsidR="00412E22" w:rsidRPr="00F13AD3">
        <w:rPr>
          <w:rFonts w:ascii="Arial" w:hAnsi="Arial" w:cs="Arial"/>
          <w:color w:val="FF0000"/>
          <w:sz w:val="21"/>
          <w:szCs w:val="21"/>
        </w:rPr>
        <w:t>]</w:t>
      </w:r>
      <w:r w:rsidR="00412E22">
        <w:rPr>
          <w:rFonts w:ascii="Arial" w:hAnsi="Arial" w:cs="Arial"/>
          <w:sz w:val="21"/>
          <w:szCs w:val="21"/>
        </w:rPr>
        <w:t xml:space="preserve">.  </w:t>
      </w:r>
      <w:r w:rsidR="00124C1A">
        <w:rPr>
          <w:rFonts w:ascii="Arial" w:hAnsi="Arial" w:cs="Arial"/>
          <w:sz w:val="21"/>
          <w:szCs w:val="21"/>
        </w:rPr>
        <w:t xml:space="preserve">My current treatment plan for </w:t>
      </w:r>
      <w:r w:rsidR="00124C1A" w:rsidRPr="00124C1A">
        <w:rPr>
          <w:rFonts w:ascii="Arial" w:hAnsi="Arial" w:cs="Arial"/>
          <w:color w:val="FF0000"/>
          <w:sz w:val="21"/>
          <w:szCs w:val="21"/>
        </w:rPr>
        <w:t xml:space="preserve">[Patient name] </w:t>
      </w:r>
      <w:r w:rsidR="00124C1A">
        <w:rPr>
          <w:rFonts w:ascii="Arial" w:hAnsi="Arial" w:cs="Arial"/>
          <w:sz w:val="21"/>
          <w:szCs w:val="21"/>
        </w:rPr>
        <w:t xml:space="preserve">includes </w:t>
      </w:r>
      <w:r w:rsidR="00124C1A" w:rsidRPr="00124C1A">
        <w:rPr>
          <w:rFonts w:ascii="Arial" w:hAnsi="Arial" w:cs="Arial"/>
          <w:color w:val="FF0000"/>
          <w:sz w:val="21"/>
          <w:szCs w:val="21"/>
        </w:rPr>
        <w:t xml:space="preserve">[current treatment(s), dosage, frequency]. [Patient name] </w:t>
      </w:r>
      <w:r w:rsidR="00124C1A">
        <w:rPr>
          <w:rFonts w:ascii="Arial" w:hAnsi="Arial" w:cs="Arial"/>
          <w:color w:val="000000" w:themeColor="text1"/>
          <w:sz w:val="21"/>
          <w:szCs w:val="21"/>
        </w:rPr>
        <w:t xml:space="preserve">has been on this treatment plan since </w:t>
      </w:r>
      <w:r w:rsidR="00124C1A" w:rsidRPr="00124C1A">
        <w:rPr>
          <w:rFonts w:ascii="Arial" w:hAnsi="Arial" w:cs="Arial"/>
          <w:color w:val="FF0000"/>
          <w:sz w:val="21"/>
          <w:szCs w:val="21"/>
        </w:rPr>
        <w:t>[date]</w:t>
      </w:r>
      <w:r w:rsidR="00124C1A">
        <w:rPr>
          <w:rFonts w:ascii="Arial" w:hAnsi="Arial" w:cs="Arial"/>
          <w:color w:val="000000" w:themeColor="text1"/>
          <w:sz w:val="21"/>
          <w:szCs w:val="21"/>
        </w:rPr>
        <w:t>.</w:t>
      </w:r>
    </w:p>
    <w:p w14:paraId="1A132BEE" w14:textId="77777777" w:rsidR="00B271F9" w:rsidRDefault="00B271F9" w:rsidP="00DB4DEB">
      <w:pPr>
        <w:autoSpaceDE w:val="0"/>
        <w:autoSpaceDN w:val="0"/>
        <w:adjustRightInd w:val="0"/>
        <w:rPr>
          <w:rFonts w:ascii="Arial" w:hAnsi="Arial" w:cs="Arial"/>
          <w:sz w:val="21"/>
          <w:szCs w:val="21"/>
        </w:rPr>
      </w:pPr>
    </w:p>
    <w:p w14:paraId="452B88E5" w14:textId="77777777" w:rsidR="00B271F9" w:rsidRPr="00B271F9" w:rsidRDefault="00DB4DEB" w:rsidP="00DB4DEB">
      <w:pPr>
        <w:autoSpaceDE w:val="0"/>
        <w:autoSpaceDN w:val="0"/>
        <w:adjustRightInd w:val="0"/>
        <w:rPr>
          <w:rFonts w:ascii="Arial" w:hAnsi="Arial" w:cs="Arial"/>
          <w:sz w:val="21"/>
          <w:szCs w:val="21"/>
        </w:rPr>
      </w:pPr>
      <w:r w:rsidRPr="00B271F9">
        <w:rPr>
          <w:rFonts w:ascii="Arial" w:hAnsi="Arial" w:cs="Arial"/>
          <w:sz w:val="21"/>
          <w:szCs w:val="21"/>
        </w:rPr>
        <w:t xml:space="preserve">My patient has previously tried </w:t>
      </w:r>
      <w:r w:rsidR="00B271F9" w:rsidRPr="00B271F9">
        <w:rPr>
          <w:rFonts w:ascii="Arial" w:hAnsi="Arial" w:cs="Arial"/>
          <w:sz w:val="21"/>
          <w:szCs w:val="21"/>
        </w:rPr>
        <w:t xml:space="preserve">and failed:  </w:t>
      </w:r>
    </w:p>
    <w:p w14:paraId="5CD64196"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sidRPr="00B229C4">
        <w:rPr>
          <w:rFonts w:ascii="Arial" w:hAnsi="Arial" w:cs="Arial"/>
          <w:sz w:val="21"/>
          <w:szCs w:val="21"/>
        </w:rPr>
        <w:t xml:space="preserve">ORAL </w:t>
      </w:r>
      <w:r w:rsidRPr="00B229C4">
        <w:rPr>
          <w:rFonts w:ascii="Arial" w:hAnsi="Arial" w:cs="Arial"/>
          <w:color w:val="FF0000"/>
          <w:sz w:val="21"/>
          <w:szCs w:val="21"/>
        </w:rPr>
        <w:t>[triptan name]</w:t>
      </w:r>
      <w:r w:rsidRPr="00DE1101">
        <w:rPr>
          <w:rFonts w:ascii="Arial" w:hAnsi="Arial" w:cs="Arial"/>
          <w:sz w:val="21"/>
          <w:szCs w:val="21"/>
        </w:rPr>
        <w:t>:</w:t>
      </w:r>
      <w:r w:rsidRPr="00B229C4">
        <w:rPr>
          <w:rFonts w:ascii="Arial" w:hAnsi="Arial" w:cs="Arial"/>
          <w:sz w:val="21"/>
          <w:szCs w:val="21"/>
        </w:rPr>
        <w:t xml:space="preserve"> due to migraine-associated nausea/vomiting.  </w:t>
      </w:r>
      <w:r w:rsidRPr="00B229C4">
        <w:rPr>
          <w:rFonts w:ascii="Arial" w:hAnsi="Arial" w:cs="Arial"/>
          <w:i/>
          <w:iCs/>
          <w:sz w:val="21"/>
          <w:szCs w:val="21"/>
        </w:rPr>
        <w:t>AHS recommends a non-oral triptan for such patients.</w:t>
      </w:r>
      <w:r w:rsidRPr="00B229C4">
        <w:rPr>
          <w:rFonts w:ascii="Arial" w:hAnsi="Arial" w:cs="Arial"/>
          <w:i/>
          <w:iCs/>
          <w:sz w:val="21"/>
          <w:szCs w:val="21"/>
          <w:vertAlign w:val="superscript"/>
        </w:rPr>
        <w:t>1</w:t>
      </w:r>
    </w:p>
    <w:p w14:paraId="229F11ED"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sidRPr="00B229C4">
        <w:rPr>
          <w:rFonts w:ascii="Arial" w:hAnsi="Arial" w:cs="Arial"/>
          <w:sz w:val="21"/>
          <w:szCs w:val="21"/>
        </w:rPr>
        <w:t xml:space="preserve">ORAL </w:t>
      </w:r>
      <w:r w:rsidRPr="00B229C4">
        <w:rPr>
          <w:rFonts w:ascii="Arial" w:hAnsi="Arial" w:cs="Arial"/>
          <w:color w:val="FF0000"/>
          <w:sz w:val="21"/>
          <w:szCs w:val="21"/>
        </w:rPr>
        <w:t>[triptan name]</w:t>
      </w:r>
      <w:r>
        <w:rPr>
          <w:rFonts w:ascii="Arial" w:hAnsi="Arial" w:cs="Arial"/>
          <w:sz w:val="21"/>
          <w:szCs w:val="21"/>
        </w:rPr>
        <w:t>:</w:t>
      </w:r>
      <w:r w:rsidRPr="00B229C4">
        <w:rPr>
          <w:rFonts w:ascii="Arial" w:hAnsi="Arial" w:cs="Arial"/>
          <w:sz w:val="21"/>
          <w:szCs w:val="21"/>
        </w:rPr>
        <w:t xml:space="preserve"> </w:t>
      </w:r>
      <w:proofErr w:type="gramStart"/>
      <w:r>
        <w:rPr>
          <w:rFonts w:ascii="Arial" w:hAnsi="Arial" w:cs="Arial"/>
          <w:sz w:val="21"/>
          <w:szCs w:val="21"/>
        </w:rPr>
        <w:t>provided</w:t>
      </w:r>
      <w:proofErr w:type="gramEnd"/>
      <w:r>
        <w:rPr>
          <w:rFonts w:ascii="Arial" w:hAnsi="Arial" w:cs="Arial"/>
          <w:sz w:val="21"/>
          <w:szCs w:val="21"/>
        </w:rPr>
        <w:t xml:space="preserve"> inconsistent relief and therefore</w:t>
      </w:r>
      <w:r w:rsidRPr="00B229C4">
        <w:rPr>
          <w:rFonts w:ascii="Arial" w:hAnsi="Arial" w:cs="Arial"/>
          <w:sz w:val="21"/>
          <w:szCs w:val="21"/>
        </w:rPr>
        <w:t xml:space="preserve"> requires a non-oral treatment as a self-administered rescue medication.  </w:t>
      </w:r>
    </w:p>
    <w:p w14:paraId="4B7F834B" w14:textId="77777777" w:rsidR="003E6C33" w:rsidRPr="00B229C4" w:rsidRDefault="003E6C33" w:rsidP="003E6C33">
      <w:pPr>
        <w:pStyle w:val="ListParagraph"/>
        <w:numPr>
          <w:ilvl w:val="0"/>
          <w:numId w:val="2"/>
        </w:numPr>
        <w:autoSpaceDE w:val="0"/>
        <w:autoSpaceDN w:val="0"/>
        <w:adjustRightInd w:val="0"/>
        <w:rPr>
          <w:rFonts w:ascii="Arial" w:hAnsi="Arial" w:cs="Arial"/>
          <w:sz w:val="21"/>
          <w:szCs w:val="21"/>
        </w:rPr>
      </w:pPr>
      <w:r w:rsidRPr="00B229C4">
        <w:rPr>
          <w:rFonts w:ascii="Arial" w:hAnsi="Arial" w:cs="Arial"/>
          <w:sz w:val="21"/>
          <w:szCs w:val="21"/>
        </w:rPr>
        <w:t xml:space="preserve">ORAL </w:t>
      </w:r>
      <w:r w:rsidRPr="00B229C4">
        <w:rPr>
          <w:rFonts w:ascii="Arial" w:hAnsi="Arial" w:cs="Arial"/>
          <w:color w:val="FF0000"/>
          <w:sz w:val="21"/>
          <w:szCs w:val="21"/>
        </w:rPr>
        <w:t>[triptan name]</w:t>
      </w:r>
      <w:r>
        <w:rPr>
          <w:rFonts w:ascii="Arial" w:hAnsi="Arial" w:cs="Arial"/>
          <w:sz w:val="21"/>
          <w:szCs w:val="21"/>
        </w:rPr>
        <w:t xml:space="preserve">: was ineffective for </w:t>
      </w:r>
      <w:r w:rsidRPr="00B229C4">
        <w:rPr>
          <w:rFonts w:ascii="Arial" w:hAnsi="Arial" w:cs="Arial"/>
          <w:color w:val="FF0000"/>
          <w:sz w:val="21"/>
          <w:szCs w:val="21"/>
        </w:rPr>
        <w:t xml:space="preserve">[morning OR </w:t>
      </w:r>
      <w:proofErr w:type="gramStart"/>
      <w:r w:rsidRPr="00B229C4">
        <w:rPr>
          <w:rFonts w:ascii="Arial" w:hAnsi="Arial" w:cs="Arial"/>
          <w:color w:val="FF0000"/>
          <w:sz w:val="21"/>
          <w:szCs w:val="21"/>
        </w:rPr>
        <w:t>rapid-onset</w:t>
      </w:r>
      <w:proofErr w:type="gramEnd"/>
      <w:r w:rsidRPr="00B229C4">
        <w:rPr>
          <w:rFonts w:ascii="Arial" w:hAnsi="Arial" w:cs="Arial"/>
          <w:color w:val="FF0000"/>
          <w:sz w:val="21"/>
          <w:szCs w:val="21"/>
        </w:rPr>
        <w:t xml:space="preserve">] </w:t>
      </w:r>
      <w:r w:rsidRPr="00B229C4">
        <w:rPr>
          <w:rFonts w:ascii="Arial" w:hAnsi="Arial" w:cs="Arial"/>
          <w:sz w:val="21"/>
          <w:szCs w:val="21"/>
        </w:rPr>
        <w:t xml:space="preserve">migraines due to </w:t>
      </w:r>
      <w:r w:rsidRPr="00B229C4">
        <w:rPr>
          <w:rFonts w:ascii="Arial" w:hAnsi="Arial" w:cs="Arial"/>
          <w:color w:val="FF0000"/>
          <w:sz w:val="21"/>
          <w:szCs w:val="21"/>
        </w:rPr>
        <w:t>[slow onset of pain relief OR other reason]</w:t>
      </w:r>
      <w:r w:rsidRPr="00B229C4">
        <w:rPr>
          <w:rFonts w:ascii="Arial" w:hAnsi="Arial" w:cs="Arial"/>
          <w:sz w:val="21"/>
          <w:szCs w:val="21"/>
        </w:rPr>
        <w:t xml:space="preserve">.  </w:t>
      </w:r>
      <w:r w:rsidRPr="00B229C4">
        <w:rPr>
          <w:rFonts w:ascii="Arial" w:hAnsi="Arial" w:cs="Arial"/>
          <w:i/>
          <w:iCs/>
          <w:sz w:val="21"/>
          <w:szCs w:val="21"/>
        </w:rPr>
        <w:t xml:space="preserve">AHS recommends a non-oral triptan </w:t>
      </w:r>
      <w:r>
        <w:rPr>
          <w:rFonts w:ascii="Arial" w:hAnsi="Arial" w:cs="Arial"/>
          <w:i/>
          <w:iCs/>
          <w:sz w:val="21"/>
          <w:szCs w:val="21"/>
        </w:rPr>
        <w:t>morning or rapid-onset migraines</w:t>
      </w:r>
      <w:r w:rsidRPr="00B229C4">
        <w:rPr>
          <w:rFonts w:ascii="Arial" w:hAnsi="Arial" w:cs="Arial"/>
          <w:i/>
          <w:iCs/>
          <w:sz w:val="21"/>
          <w:szCs w:val="21"/>
        </w:rPr>
        <w:t>,</w:t>
      </w:r>
      <w:r w:rsidRPr="00B229C4">
        <w:rPr>
          <w:rFonts w:ascii="Arial" w:hAnsi="Arial" w:cs="Arial"/>
          <w:i/>
          <w:iCs/>
          <w:sz w:val="21"/>
          <w:szCs w:val="21"/>
          <w:vertAlign w:val="superscript"/>
        </w:rPr>
        <w:t>2</w:t>
      </w:r>
      <w:r w:rsidRPr="00B229C4">
        <w:rPr>
          <w:rFonts w:ascii="Arial" w:hAnsi="Arial" w:cs="Arial"/>
          <w:i/>
          <w:iCs/>
          <w:sz w:val="21"/>
          <w:szCs w:val="21"/>
        </w:rPr>
        <w:t xml:space="preserve"> </w:t>
      </w:r>
      <w:r w:rsidRPr="00B229C4">
        <w:rPr>
          <w:rFonts w:ascii="Arial" w:hAnsi="Arial" w:cs="Arial"/>
          <w:sz w:val="21"/>
          <w:szCs w:val="21"/>
        </w:rPr>
        <w:t>to provide rapid-onset pain relief and minimize migraine-associated disability.</w:t>
      </w:r>
      <w:r w:rsidRPr="00B229C4">
        <w:rPr>
          <w:rFonts w:ascii="Arial" w:hAnsi="Arial" w:cs="Arial"/>
          <w:i/>
          <w:iCs/>
          <w:sz w:val="21"/>
          <w:szCs w:val="21"/>
          <w:vertAlign w:val="superscript"/>
        </w:rPr>
        <w:t xml:space="preserve"> </w:t>
      </w:r>
      <w:r w:rsidRPr="00B229C4">
        <w:rPr>
          <w:rFonts w:ascii="Arial" w:hAnsi="Arial" w:cs="Arial"/>
          <w:i/>
          <w:iCs/>
          <w:sz w:val="21"/>
          <w:szCs w:val="21"/>
        </w:rPr>
        <w:t xml:space="preserve"> </w:t>
      </w:r>
      <w:r w:rsidRPr="00B229C4">
        <w:rPr>
          <w:rFonts w:ascii="Arial" w:hAnsi="Arial" w:cs="Arial"/>
          <w:sz w:val="21"/>
          <w:szCs w:val="21"/>
        </w:rPr>
        <w:t>Zembrace SymTouch provides onset of pain relief in as few as 10 minutes.</w:t>
      </w:r>
      <w:r w:rsidRPr="00B229C4">
        <w:rPr>
          <w:rFonts w:ascii="Arial" w:hAnsi="Arial" w:cs="Arial"/>
          <w:sz w:val="21"/>
          <w:szCs w:val="21"/>
          <w:vertAlign w:val="superscript"/>
        </w:rPr>
        <w:t>3</w:t>
      </w:r>
    </w:p>
    <w:p w14:paraId="1346E7E6" w14:textId="77777777" w:rsidR="00DB4DEB" w:rsidRPr="00B271F9" w:rsidRDefault="00DB4DEB" w:rsidP="00DB4DEB">
      <w:pPr>
        <w:autoSpaceDE w:val="0"/>
        <w:autoSpaceDN w:val="0"/>
        <w:adjustRightInd w:val="0"/>
        <w:rPr>
          <w:rFonts w:ascii="Arial" w:hAnsi="Arial" w:cs="Arial"/>
          <w:sz w:val="21"/>
          <w:szCs w:val="21"/>
        </w:rPr>
      </w:pPr>
    </w:p>
    <w:p w14:paraId="1CECD74B" w14:textId="1091B66E" w:rsidR="00DB4DEB" w:rsidRPr="0070385C" w:rsidRDefault="00DB4DEB" w:rsidP="00737B71">
      <w:pPr>
        <w:autoSpaceDE w:val="0"/>
        <w:autoSpaceDN w:val="0"/>
        <w:adjustRightInd w:val="0"/>
        <w:rPr>
          <w:rFonts w:ascii="Arial" w:hAnsi="Arial" w:cs="Arial"/>
          <w:sz w:val="21"/>
          <w:szCs w:val="21"/>
        </w:rPr>
      </w:pPr>
      <w:r w:rsidRPr="0070385C">
        <w:rPr>
          <w:rFonts w:ascii="Arial" w:hAnsi="Arial" w:cs="Arial"/>
          <w:sz w:val="21"/>
          <w:szCs w:val="21"/>
        </w:rPr>
        <w:t xml:space="preserve">My office can be contacted at </w:t>
      </w:r>
      <w:r w:rsidRPr="00D01523">
        <w:rPr>
          <w:rFonts w:ascii="Arial" w:hAnsi="Arial" w:cs="Arial"/>
          <w:color w:val="FF0000"/>
          <w:sz w:val="21"/>
          <w:szCs w:val="21"/>
        </w:rPr>
        <w:t>[phone number</w:t>
      </w:r>
      <w:r w:rsidR="00D01523">
        <w:rPr>
          <w:rFonts w:ascii="Arial" w:hAnsi="Arial" w:cs="Arial"/>
          <w:color w:val="FF0000"/>
          <w:sz w:val="21"/>
          <w:szCs w:val="21"/>
        </w:rPr>
        <w:t>/email address</w:t>
      </w:r>
      <w:r w:rsidRPr="00D01523">
        <w:rPr>
          <w:rFonts w:ascii="Arial" w:hAnsi="Arial" w:cs="Arial"/>
          <w:color w:val="FF0000"/>
          <w:sz w:val="21"/>
          <w:szCs w:val="21"/>
        </w:rPr>
        <w:t xml:space="preserve">] </w:t>
      </w:r>
      <w:r w:rsidRPr="0070385C">
        <w:rPr>
          <w:rFonts w:ascii="Arial" w:hAnsi="Arial" w:cs="Arial"/>
          <w:sz w:val="21"/>
          <w:szCs w:val="21"/>
        </w:rPr>
        <w:t>if additional information is required to approve this request.</w:t>
      </w:r>
      <w:r w:rsidR="00737B71">
        <w:rPr>
          <w:rFonts w:ascii="Arial" w:hAnsi="Arial" w:cs="Arial"/>
          <w:sz w:val="21"/>
          <w:szCs w:val="21"/>
        </w:rPr>
        <w:t xml:space="preserve">  </w:t>
      </w:r>
      <w:r w:rsidRPr="0070385C">
        <w:rPr>
          <w:rFonts w:ascii="Arial" w:hAnsi="Arial" w:cs="Arial"/>
          <w:sz w:val="21"/>
          <w:szCs w:val="21"/>
        </w:rPr>
        <w:t xml:space="preserve">Thank you in advance </w:t>
      </w:r>
      <w:r w:rsidR="00D01523">
        <w:rPr>
          <w:rFonts w:ascii="Arial" w:hAnsi="Arial" w:cs="Arial"/>
          <w:sz w:val="21"/>
          <w:szCs w:val="21"/>
        </w:rPr>
        <w:t xml:space="preserve">for enabling me to meet my patient’s treatment goals by allowing access to </w:t>
      </w:r>
      <w:r w:rsidR="008D1F98">
        <w:rPr>
          <w:rFonts w:ascii="Arial" w:hAnsi="Arial" w:cs="Arial"/>
          <w:sz w:val="21"/>
          <w:szCs w:val="21"/>
        </w:rPr>
        <w:t>Zembrace Sym</w:t>
      </w:r>
      <w:r w:rsidR="00512C40">
        <w:rPr>
          <w:rFonts w:ascii="Arial" w:hAnsi="Arial" w:cs="Arial"/>
          <w:sz w:val="21"/>
          <w:szCs w:val="21"/>
        </w:rPr>
        <w:t>T</w:t>
      </w:r>
      <w:r w:rsidR="008D1F98">
        <w:rPr>
          <w:rFonts w:ascii="Arial" w:hAnsi="Arial" w:cs="Arial"/>
          <w:sz w:val="21"/>
          <w:szCs w:val="21"/>
        </w:rPr>
        <w:t>ouch</w:t>
      </w:r>
      <w:r w:rsidRPr="0070385C">
        <w:rPr>
          <w:rFonts w:ascii="Arial" w:hAnsi="Arial" w:cs="Arial"/>
          <w:sz w:val="21"/>
          <w:szCs w:val="21"/>
        </w:rPr>
        <w:t xml:space="preserve">. </w:t>
      </w:r>
    </w:p>
    <w:p w14:paraId="450C2340" w14:textId="77777777" w:rsidR="00DB4DEB" w:rsidRPr="0070385C" w:rsidRDefault="00DB4DEB" w:rsidP="00DB4DEB">
      <w:pPr>
        <w:rPr>
          <w:rFonts w:ascii="Arial" w:hAnsi="Arial" w:cs="Arial"/>
          <w:sz w:val="21"/>
          <w:szCs w:val="21"/>
        </w:rPr>
      </w:pPr>
    </w:p>
    <w:p w14:paraId="7DB12144" w14:textId="77777777" w:rsidR="00DB4DEB" w:rsidRPr="0070385C" w:rsidRDefault="00DB4DEB" w:rsidP="00DB4DEB">
      <w:pPr>
        <w:rPr>
          <w:rFonts w:ascii="Arial" w:hAnsi="Arial" w:cs="Arial"/>
          <w:sz w:val="21"/>
          <w:szCs w:val="21"/>
        </w:rPr>
      </w:pPr>
      <w:r w:rsidRPr="0070385C">
        <w:rPr>
          <w:rFonts w:ascii="Arial" w:hAnsi="Arial" w:cs="Arial"/>
          <w:sz w:val="21"/>
          <w:szCs w:val="21"/>
        </w:rPr>
        <w:t>Sincerely,</w:t>
      </w:r>
    </w:p>
    <w:p w14:paraId="0F5637CD" w14:textId="77777777" w:rsidR="00DB4DEB" w:rsidRPr="0070385C" w:rsidRDefault="00DB4DEB" w:rsidP="00DB4DEB">
      <w:pPr>
        <w:rPr>
          <w:rFonts w:ascii="Arial" w:hAnsi="Arial" w:cs="Arial"/>
          <w:sz w:val="21"/>
          <w:szCs w:val="21"/>
        </w:rPr>
      </w:pPr>
    </w:p>
    <w:p w14:paraId="79A75DF4" w14:textId="2288B78F" w:rsidR="00DB4DEB" w:rsidRPr="00D01523" w:rsidRDefault="00DB4DEB" w:rsidP="00DB4DEB">
      <w:pPr>
        <w:rPr>
          <w:rFonts w:ascii="Arial" w:hAnsi="Arial" w:cs="Arial"/>
          <w:color w:val="FF0000"/>
          <w:sz w:val="21"/>
          <w:szCs w:val="21"/>
        </w:rPr>
      </w:pPr>
      <w:r w:rsidRPr="00D01523">
        <w:rPr>
          <w:rFonts w:ascii="Arial" w:hAnsi="Arial" w:cs="Arial"/>
          <w:color w:val="FF0000"/>
          <w:sz w:val="21"/>
          <w:szCs w:val="21"/>
        </w:rPr>
        <w:t>[</w:t>
      </w:r>
      <w:r w:rsidR="00D01523">
        <w:rPr>
          <w:rFonts w:ascii="Arial" w:hAnsi="Arial" w:cs="Arial"/>
          <w:color w:val="FF0000"/>
          <w:sz w:val="21"/>
          <w:szCs w:val="21"/>
        </w:rPr>
        <w:t>Provider</w:t>
      </w:r>
      <w:r w:rsidRPr="00D01523">
        <w:rPr>
          <w:rFonts w:ascii="Arial" w:hAnsi="Arial" w:cs="Arial"/>
          <w:color w:val="FF0000"/>
          <w:sz w:val="21"/>
          <w:szCs w:val="21"/>
        </w:rPr>
        <w:t xml:space="preserve"> name, medical specialty, National Provider Identifier number]</w:t>
      </w:r>
    </w:p>
    <w:p w14:paraId="24CC5978" w14:textId="12CC480E" w:rsidR="00DB4DEB" w:rsidRPr="00D01523" w:rsidRDefault="00DB4DEB" w:rsidP="00DB4DEB">
      <w:pPr>
        <w:rPr>
          <w:rFonts w:ascii="Arial" w:hAnsi="Arial" w:cs="Arial"/>
          <w:color w:val="FF0000"/>
          <w:sz w:val="21"/>
          <w:szCs w:val="21"/>
        </w:rPr>
      </w:pPr>
      <w:r w:rsidRPr="00D01523">
        <w:rPr>
          <w:rFonts w:ascii="Arial" w:hAnsi="Arial" w:cs="Arial"/>
          <w:color w:val="FF0000"/>
          <w:sz w:val="21"/>
          <w:szCs w:val="21"/>
        </w:rPr>
        <w:t>[</w:t>
      </w:r>
      <w:r w:rsidR="00D01523">
        <w:rPr>
          <w:rFonts w:ascii="Arial" w:hAnsi="Arial" w:cs="Arial"/>
          <w:color w:val="FF0000"/>
          <w:sz w:val="21"/>
          <w:szCs w:val="21"/>
        </w:rPr>
        <w:t>Provider</w:t>
      </w:r>
      <w:r w:rsidRPr="00D01523">
        <w:rPr>
          <w:rFonts w:ascii="Arial" w:hAnsi="Arial" w:cs="Arial"/>
          <w:color w:val="FF0000"/>
          <w:sz w:val="21"/>
          <w:szCs w:val="21"/>
        </w:rPr>
        <w:t xml:space="preserve"> address]</w:t>
      </w:r>
    </w:p>
    <w:p w14:paraId="4E9125F0" w14:textId="52090065" w:rsidR="00DB4DEB" w:rsidRPr="00D01523" w:rsidRDefault="00DB4DEB" w:rsidP="00DB4DEB">
      <w:pPr>
        <w:rPr>
          <w:rFonts w:ascii="Arial" w:hAnsi="Arial" w:cs="Arial"/>
          <w:color w:val="FF0000"/>
          <w:sz w:val="21"/>
          <w:szCs w:val="21"/>
        </w:rPr>
      </w:pPr>
      <w:r w:rsidRPr="00D01523">
        <w:rPr>
          <w:rFonts w:ascii="Arial" w:hAnsi="Arial" w:cs="Arial"/>
          <w:color w:val="FF0000"/>
          <w:sz w:val="21"/>
          <w:szCs w:val="21"/>
        </w:rPr>
        <w:t>[P</w:t>
      </w:r>
      <w:r w:rsidR="00D01523">
        <w:rPr>
          <w:rFonts w:ascii="Arial" w:hAnsi="Arial" w:cs="Arial"/>
          <w:color w:val="FF0000"/>
          <w:sz w:val="21"/>
          <w:szCs w:val="21"/>
        </w:rPr>
        <w:t>rovider</w:t>
      </w:r>
      <w:r w:rsidRPr="00D01523">
        <w:rPr>
          <w:rFonts w:ascii="Arial" w:hAnsi="Arial" w:cs="Arial"/>
          <w:color w:val="FF0000"/>
          <w:sz w:val="21"/>
          <w:szCs w:val="21"/>
        </w:rPr>
        <w:t xml:space="preserve"> phone number]</w:t>
      </w:r>
    </w:p>
    <w:p w14:paraId="31693DC2" w14:textId="501ED0F0" w:rsidR="00DB4DEB" w:rsidRDefault="00DB4DEB" w:rsidP="00DB4DEB">
      <w:pPr>
        <w:rPr>
          <w:rFonts w:ascii="Arial" w:hAnsi="Arial" w:cs="Arial"/>
          <w:color w:val="FF0000"/>
          <w:sz w:val="21"/>
          <w:szCs w:val="21"/>
        </w:rPr>
      </w:pPr>
      <w:r w:rsidRPr="00D01523">
        <w:rPr>
          <w:rFonts w:ascii="Arial" w:hAnsi="Arial" w:cs="Arial"/>
          <w:color w:val="FF0000"/>
          <w:sz w:val="21"/>
          <w:szCs w:val="21"/>
        </w:rPr>
        <w:t>[</w:t>
      </w:r>
      <w:r w:rsidR="00D01523">
        <w:rPr>
          <w:rFonts w:ascii="Arial" w:hAnsi="Arial" w:cs="Arial"/>
          <w:color w:val="FF0000"/>
          <w:sz w:val="21"/>
          <w:szCs w:val="21"/>
        </w:rPr>
        <w:t>Provider</w:t>
      </w:r>
      <w:r w:rsidRPr="00D01523">
        <w:rPr>
          <w:rFonts w:ascii="Arial" w:hAnsi="Arial" w:cs="Arial"/>
          <w:color w:val="FF0000"/>
          <w:sz w:val="21"/>
          <w:szCs w:val="21"/>
        </w:rPr>
        <w:t xml:space="preserve"> fax number]</w:t>
      </w:r>
    </w:p>
    <w:p w14:paraId="10F60DB6" w14:textId="0D11B3FB" w:rsidR="00D01523" w:rsidRPr="00D01523" w:rsidRDefault="00D01523" w:rsidP="00D01523">
      <w:pPr>
        <w:rPr>
          <w:rFonts w:ascii="Arial" w:hAnsi="Arial" w:cs="Arial"/>
          <w:color w:val="FF0000"/>
          <w:sz w:val="21"/>
          <w:szCs w:val="21"/>
        </w:rPr>
      </w:pPr>
      <w:r w:rsidRPr="00D01523">
        <w:rPr>
          <w:rFonts w:ascii="Arial" w:hAnsi="Arial" w:cs="Arial"/>
          <w:color w:val="FF0000"/>
          <w:sz w:val="21"/>
          <w:szCs w:val="21"/>
        </w:rPr>
        <w:t>[</w:t>
      </w:r>
      <w:r>
        <w:rPr>
          <w:rFonts w:ascii="Arial" w:hAnsi="Arial" w:cs="Arial"/>
          <w:color w:val="FF0000"/>
          <w:sz w:val="21"/>
          <w:szCs w:val="21"/>
        </w:rPr>
        <w:t>Provider</w:t>
      </w:r>
      <w:r w:rsidRPr="00D01523">
        <w:rPr>
          <w:rFonts w:ascii="Arial" w:hAnsi="Arial" w:cs="Arial"/>
          <w:color w:val="FF0000"/>
          <w:sz w:val="21"/>
          <w:szCs w:val="21"/>
        </w:rPr>
        <w:t xml:space="preserve"> </w:t>
      </w:r>
      <w:r>
        <w:rPr>
          <w:rFonts w:ascii="Arial" w:hAnsi="Arial" w:cs="Arial"/>
          <w:color w:val="FF0000"/>
          <w:sz w:val="21"/>
          <w:szCs w:val="21"/>
        </w:rPr>
        <w:t>email</w:t>
      </w:r>
      <w:r w:rsidRPr="00D01523">
        <w:rPr>
          <w:rFonts w:ascii="Arial" w:hAnsi="Arial" w:cs="Arial"/>
          <w:color w:val="FF0000"/>
          <w:sz w:val="21"/>
          <w:szCs w:val="21"/>
        </w:rPr>
        <w:t>]</w:t>
      </w:r>
    </w:p>
    <w:p w14:paraId="49425650" w14:textId="77777777" w:rsidR="00D01523" w:rsidRPr="00D01523" w:rsidRDefault="00D01523" w:rsidP="00DB4DEB">
      <w:pPr>
        <w:rPr>
          <w:rFonts w:ascii="Arial" w:hAnsi="Arial" w:cs="Arial"/>
          <w:color w:val="FF0000"/>
          <w:sz w:val="21"/>
          <w:szCs w:val="21"/>
        </w:rPr>
      </w:pPr>
    </w:p>
    <w:p w14:paraId="2D72FF96" w14:textId="77777777" w:rsidR="00DB4DEB" w:rsidRPr="0070385C" w:rsidRDefault="00DB4DEB" w:rsidP="00DB4DEB">
      <w:pPr>
        <w:rPr>
          <w:rFonts w:ascii="Arial" w:hAnsi="Arial" w:cs="Arial"/>
          <w:sz w:val="21"/>
          <w:szCs w:val="21"/>
        </w:rPr>
      </w:pPr>
    </w:p>
    <w:p w14:paraId="2FC3FB9A" w14:textId="77777777" w:rsidR="00DB4DEB" w:rsidRPr="00D01523" w:rsidRDefault="00DB4DEB" w:rsidP="00DB4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1"/>
          <w:szCs w:val="21"/>
        </w:rPr>
      </w:pPr>
      <w:r w:rsidRPr="0070385C">
        <w:rPr>
          <w:rFonts w:ascii="Arial" w:hAnsi="Arial" w:cs="Arial"/>
          <w:b/>
          <w:bCs/>
          <w:color w:val="000000"/>
          <w:sz w:val="21"/>
          <w:szCs w:val="21"/>
        </w:rPr>
        <w:t xml:space="preserve">Enclosures </w:t>
      </w:r>
      <w:r w:rsidRPr="00D01523">
        <w:rPr>
          <w:rFonts w:ascii="Arial" w:hAnsi="Arial" w:cs="Arial"/>
          <w:color w:val="FF0000"/>
          <w:sz w:val="21"/>
          <w:szCs w:val="21"/>
        </w:rPr>
        <w:t>[suggested]:</w:t>
      </w:r>
    </w:p>
    <w:p w14:paraId="3803F0B7" w14:textId="490E2BD7" w:rsidR="00DB4DEB" w:rsidRDefault="00DB4DEB" w:rsidP="00737B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1"/>
          <w:szCs w:val="21"/>
        </w:rPr>
      </w:pPr>
      <w:r w:rsidRPr="00D01523">
        <w:rPr>
          <w:rFonts w:ascii="Arial" w:hAnsi="Arial" w:cs="Arial"/>
          <w:color w:val="FF0000"/>
          <w:sz w:val="21"/>
          <w:szCs w:val="21"/>
        </w:rPr>
        <w:t>[Relevant patient medical records]</w:t>
      </w:r>
    </w:p>
    <w:p w14:paraId="3FB4C147" w14:textId="1467A965" w:rsidR="00737B71" w:rsidRDefault="00737B71" w:rsidP="00737B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1"/>
          <w:szCs w:val="21"/>
        </w:rPr>
      </w:pPr>
    </w:p>
    <w:p w14:paraId="0A367BF1" w14:textId="0CE79FFC" w:rsidR="00DB4DEB" w:rsidRPr="00D57DB6" w:rsidRDefault="00737B71" w:rsidP="00EE6F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0000"/>
          <w:sz w:val="16"/>
          <w:szCs w:val="16"/>
        </w:rPr>
      </w:pPr>
      <w:r w:rsidRPr="00D57DB6">
        <w:rPr>
          <w:rFonts w:ascii="Arial" w:hAnsi="Arial" w:cs="Arial"/>
          <w:b/>
          <w:bCs/>
          <w:sz w:val="16"/>
          <w:szCs w:val="16"/>
        </w:rPr>
        <w:t>References</w:t>
      </w:r>
    </w:p>
    <w:p w14:paraId="2E23306B" w14:textId="77777777" w:rsidR="00D57DB6" w:rsidRPr="00B229C4" w:rsidRDefault="00D57DB6" w:rsidP="00D57DB6">
      <w:pPr>
        <w:pStyle w:val="ListParagraph"/>
        <w:numPr>
          <w:ilvl w:val="0"/>
          <w:numId w:val="4"/>
        </w:numPr>
        <w:autoSpaceDE w:val="0"/>
        <w:autoSpaceDN w:val="0"/>
        <w:adjustRightInd w:val="0"/>
        <w:rPr>
          <w:rFonts w:ascii="Arial" w:hAnsi="Arial" w:cs="Arial"/>
          <w:sz w:val="16"/>
          <w:szCs w:val="16"/>
        </w:rPr>
      </w:pPr>
      <w:r w:rsidRPr="00B229C4">
        <w:rPr>
          <w:rFonts w:ascii="Arial" w:hAnsi="Arial" w:cs="Arial"/>
          <w:sz w:val="16"/>
          <w:szCs w:val="16"/>
        </w:rPr>
        <w:t>Ailani, J, Burch, RC, Robbins, MS; the Board of Directors of the American Headache Society. The American Headache Society Consensus Statement: Update on integrating new migraine treatments into clinical practice. </w:t>
      </w:r>
      <w:r w:rsidRPr="00B229C4">
        <w:rPr>
          <w:rFonts w:ascii="Arial" w:hAnsi="Arial" w:cs="Arial"/>
          <w:i/>
          <w:iCs/>
          <w:sz w:val="16"/>
          <w:szCs w:val="16"/>
        </w:rPr>
        <w:t>Headache</w:t>
      </w:r>
      <w:r w:rsidRPr="00B229C4">
        <w:rPr>
          <w:rFonts w:ascii="Arial" w:hAnsi="Arial" w:cs="Arial"/>
          <w:sz w:val="16"/>
          <w:szCs w:val="16"/>
        </w:rPr>
        <w:t>. 2021; 61: 1021– 1039. </w:t>
      </w:r>
      <w:hyperlink r:id="rId7" w:history="1">
        <w:r w:rsidRPr="00B229C4">
          <w:rPr>
            <w:rStyle w:val="Hyperlink"/>
            <w:rFonts w:ascii="Arial" w:hAnsi="Arial" w:cs="Arial"/>
            <w:sz w:val="16"/>
            <w:szCs w:val="16"/>
          </w:rPr>
          <w:t>https://doi.org/10.1111/head.14153</w:t>
        </w:r>
      </w:hyperlink>
      <w:r w:rsidRPr="00B229C4">
        <w:rPr>
          <w:rFonts w:ascii="Arial" w:hAnsi="Arial" w:cs="Arial"/>
          <w:sz w:val="16"/>
          <w:szCs w:val="16"/>
        </w:rPr>
        <w:t>.</w:t>
      </w:r>
    </w:p>
    <w:p w14:paraId="17055423" w14:textId="77777777" w:rsidR="00D57DB6" w:rsidRPr="00B229C4" w:rsidRDefault="00D57DB6" w:rsidP="00D57DB6">
      <w:pPr>
        <w:pStyle w:val="ListParagraph"/>
        <w:numPr>
          <w:ilvl w:val="0"/>
          <w:numId w:val="4"/>
        </w:numPr>
        <w:autoSpaceDE w:val="0"/>
        <w:autoSpaceDN w:val="0"/>
        <w:adjustRightInd w:val="0"/>
        <w:rPr>
          <w:rFonts w:ascii="Arial" w:hAnsi="Arial" w:cs="Arial"/>
          <w:sz w:val="16"/>
          <w:szCs w:val="16"/>
        </w:rPr>
      </w:pPr>
      <w:hyperlink r:id="rId8" w:history="1">
        <w:r w:rsidRPr="00B229C4">
          <w:rPr>
            <w:rStyle w:val="Hyperlink"/>
            <w:rFonts w:ascii="Arial" w:hAnsi="Arial" w:cs="Arial"/>
            <w:sz w:val="16"/>
            <w:szCs w:val="16"/>
          </w:rPr>
          <w:t>https://americanheadachesociety.org/wp-content/uploads/2018/05/John_Rothrock_and_Deborah_Friedman_-_Triptans.pdf</w:t>
        </w:r>
      </w:hyperlink>
      <w:r w:rsidRPr="00B229C4">
        <w:rPr>
          <w:rFonts w:ascii="Arial" w:hAnsi="Arial" w:cs="Arial"/>
          <w:sz w:val="16"/>
          <w:szCs w:val="16"/>
        </w:rPr>
        <w:t>.  Acc</w:t>
      </w:r>
      <w:r>
        <w:rPr>
          <w:rFonts w:ascii="Arial" w:hAnsi="Arial" w:cs="Arial"/>
          <w:sz w:val="16"/>
          <w:szCs w:val="16"/>
        </w:rPr>
        <w:t>essed Oct 2022</w:t>
      </w:r>
      <w:r w:rsidRPr="00B229C4">
        <w:rPr>
          <w:rFonts w:ascii="Arial" w:hAnsi="Arial" w:cs="Arial"/>
          <w:sz w:val="16"/>
          <w:szCs w:val="16"/>
        </w:rPr>
        <w:t>.</w:t>
      </w:r>
    </w:p>
    <w:p w14:paraId="42797F55" w14:textId="4B6DE28A" w:rsidR="00D57DB6" w:rsidRDefault="00D57DB6" w:rsidP="00D57DB6">
      <w:pPr>
        <w:pStyle w:val="ListParagraph"/>
        <w:numPr>
          <w:ilvl w:val="0"/>
          <w:numId w:val="4"/>
        </w:numPr>
        <w:autoSpaceDE w:val="0"/>
        <w:autoSpaceDN w:val="0"/>
        <w:adjustRightInd w:val="0"/>
        <w:rPr>
          <w:rFonts w:ascii="Arial" w:hAnsi="Arial" w:cs="Arial"/>
          <w:sz w:val="16"/>
          <w:szCs w:val="16"/>
        </w:rPr>
      </w:pPr>
      <w:r w:rsidRPr="00B229C4">
        <w:rPr>
          <w:rFonts w:ascii="Arial" w:hAnsi="Arial" w:cs="Arial"/>
          <w:sz w:val="16"/>
          <w:szCs w:val="16"/>
        </w:rPr>
        <w:t xml:space="preserve">Zembrace SymTouch [package insert]. </w:t>
      </w:r>
      <w:r w:rsidR="002E0BFC">
        <w:rPr>
          <w:rFonts w:ascii="Arial" w:hAnsi="Arial" w:cs="Arial"/>
          <w:sz w:val="16"/>
          <w:szCs w:val="16"/>
        </w:rPr>
        <w:t>C</w:t>
      </w:r>
      <w:r w:rsidR="005E5D42">
        <w:rPr>
          <w:rFonts w:ascii="Arial" w:hAnsi="Arial" w:cs="Arial"/>
          <w:sz w:val="16"/>
          <w:szCs w:val="16"/>
        </w:rPr>
        <w:t>h</w:t>
      </w:r>
      <w:r w:rsidR="002E0BFC">
        <w:rPr>
          <w:rFonts w:ascii="Arial" w:hAnsi="Arial" w:cs="Arial"/>
          <w:sz w:val="16"/>
          <w:szCs w:val="16"/>
        </w:rPr>
        <w:t>atham, NJ</w:t>
      </w:r>
      <w:r w:rsidRPr="00B229C4">
        <w:rPr>
          <w:rFonts w:ascii="Arial" w:hAnsi="Arial" w:cs="Arial"/>
          <w:sz w:val="16"/>
          <w:szCs w:val="16"/>
        </w:rPr>
        <w:t xml:space="preserve">: </w:t>
      </w:r>
      <w:r w:rsidR="002E0BFC">
        <w:rPr>
          <w:rFonts w:ascii="Arial" w:hAnsi="Arial" w:cs="Arial"/>
          <w:sz w:val="16"/>
          <w:szCs w:val="16"/>
        </w:rPr>
        <w:t>Tonix Medicines</w:t>
      </w:r>
      <w:r w:rsidRPr="00B229C4">
        <w:rPr>
          <w:rFonts w:ascii="Arial" w:hAnsi="Arial" w:cs="Arial"/>
          <w:sz w:val="16"/>
          <w:szCs w:val="16"/>
        </w:rPr>
        <w:t>: 202</w:t>
      </w:r>
      <w:r w:rsidR="00E9713D">
        <w:rPr>
          <w:rFonts w:ascii="Arial" w:hAnsi="Arial" w:cs="Arial"/>
          <w:sz w:val="16"/>
          <w:szCs w:val="16"/>
        </w:rPr>
        <w:t>3</w:t>
      </w:r>
      <w:r w:rsidRPr="00B229C4">
        <w:rPr>
          <w:rFonts w:ascii="Arial" w:hAnsi="Arial" w:cs="Arial"/>
          <w:sz w:val="16"/>
          <w:szCs w:val="16"/>
        </w:rPr>
        <w:t>.</w:t>
      </w:r>
    </w:p>
    <w:p w14:paraId="69BF6C44" w14:textId="78CF41C1" w:rsidR="003E6C33" w:rsidRPr="00B229C4" w:rsidRDefault="003E6C33" w:rsidP="00D57DB6">
      <w:pPr>
        <w:pStyle w:val="ListParagraph"/>
        <w:numPr>
          <w:ilvl w:val="0"/>
          <w:numId w:val="4"/>
        </w:numPr>
        <w:autoSpaceDE w:val="0"/>
        <w:autoSpaceDN w:val="0"/>
        <w:adjustRightInd w:val="0"/>
        <w:rPr>
          <w:rFonts w:ascii="Arial" w:hAnsi="Arial" w:cs="Arial"/>
          <w:sz w:val="16"/>
          <w:szCs w:val="16"/>
        </w:rPr>
      </w:pPr>
      <w:r>
        <w:rPr>
          <w:rFonts w:ascii="Arial" w:hAnsi="Arial" w:cs="Arial"/>
          <w:sz w:val="16"/>
          <w:szCs w:val="16"/>
        </w:rPr>
        <w:t xml:space="preserve">Data on file. </w:t>
      </w:r>
      <w:r w:rsidR="002E0BFC">
        <w:rPr>
          <w:rFonts w:ascii="Arial" w:hAnsi="Arial" w:cs="Arial"/>
          <w:sz w:val="16"/>
          <w:szCs w:val="16"/>
        </w:rPr>
        <w:t>C</w:t>
      </w:r>
      <w:r w:rsidR="005E5D42">
        <w:rPr>
          <w:rFonts w:ascii="Arial" w:hAnsi="Arial" w:cs="Arial"/>
          <w:sz w:val="16"/>
          <w:szCs w:val="16"/>
        </w:rPr>
        <w:t>h</w:t>
      </w:r>
      <w:r w:rsidR="002E0BFC">
        <w:rPr>
          <w:rFonts w:ascii="Arial" w:hAnsi="Arial" w:cs="Arial"/>
          <w:sz w:val="16"/>
          <w:szCs w:val="16"/>
        </w:rPr>
        <w:t>atham, NJ</w:t>
      </w:r>
      <w:r>
        <w:rPr>
          <w:rFonts w:ascii="Arial" w:hAnsi="Arial" w:cs="Arial"/>
          <w:sz w:val="16"/>
          <w:szCs w:val="16"/>
        </w:rPr>
        <w:t xml:space="preserve">: </w:t>
      </w:r>
      <w:r w:rsidR="002E0BFC">
        <w:rPr>
          <w:rFonts w:ascii="Arial" w:hAnsi="Arial" w:cs="Arial"/>
          <w:sz w:val="16"/>
          <w:szCs w:val="16"/>
        </w:rPr>
        <w:t>Tonix Medicines</w:t>
      </w:r>
      <w:r>
        <w:rPr>
          <w:rFonts w:ascii="Arial" w:hAnsi="Arial" w:cs="Arial"/>
          <w:sz w:val="16"/>
          <w:szCs w:val="16"/>
        </w:rPr>
        <w:t>: 2023.</w:t>
      </w:r>
    </w:p>
    <w:p w14:paraId="5DC7675D" w14:textId="77777777" w:rsidR="00EE6F34" w:rsidRPr="00960BDF" w:rsidRDefault="00EE6F34" w:rsidP="00EE6F34">
      <w:pPr>
        <w:pStyle w:val="ListParagraph"/>
        <w:autoSpaceDE w:val="0"/>
        <w:autoSpaceDN w:val="0"/>
        <w:adjustRightInd w:val="0"/>
        <w:ind w:left="0"/>
        <w:rPr>
          <w:rFonts w:ascii="Arial" w:hAnsi="Arial" w:cs="Arial"/>
          <w:sz w:val="21"/>
          <w:szCs w:val="21"/>
        </w:rPr>
      </w:pPr>
    </w:p>
    <w:p w14:paraId="45D5512C" w14:textId="77777777" w:rsidR="00EE6F34" w:rsidRDefault="00EE6F34" w:rsidP="00EE6F34">
      <w:pPr>
        <w:pStyle w:val="ListParagraph"/>
        <w:autoSpaceDE w:val="0"/>
        <w:autoSpaceDN w:val="0"/>
        <w:adjustRightInd w:val="0"/>
        <w:ind w:left="0"/>
      </w:pPr>
    </w:p>
    <w:p w14:paraId="41105155" w14:textId="06636B6C" w:rsidR="00512C40" w:rsidRPr="00C95FA8" w:rsidRDefault="00C95FA8" w:rsidP="00512C40">
      <w:pPr>
        <w:pStyle w:val="ListParagraph"/>
        <w:autoSpaceDE w:val="0"/>
        <w:autoSpaceDN w:val="0"/>
        <w:adjustRightInd w:val="0"/>
        <w:ind w:left="0"/>
        <w:rPr>
          <w:rFonts w:ascii="Arial" w:hAnsi="Arial" w:cs="Arial"/>
          <w:color w:val="FF0000"/>
          <w:sz w:val="16"/>
          <w:szCs w:val="16"/>
        </w:rPr>
      </w:pPr>
      <w:r w:rsidRPr="00C95FA8">
        <w:rPr>
          <w:rFonts w:ascii="Arial" w:hAnsi="Arial" w:cs="Arial"/>
          <w:color w:val="FF0000"/>
          <w:sz w:val="16"/>
          <w:szCs w:val="16"/>
        </w:rPr>
        <w:t>[</w:t>
      </w:r>
      <w:r w:rsidR="00512C40" w:rsidRPr="00C95FA8">
        <w:rPr>
          <w:rFonts w:ascii="Arial" w:hAnsi="Arial" w:cs="Arial"/>
          <w:color w:val="FF0000"/>
          <w:sz w:val="16"/>
          <w:szCs w:val="16"/>
        </w:rPr>
        <w:t xml:space="preserve">Zembrace and SymTouch are registered trademarks of </w:t>
      </w:r>
      <w:r w:rsidR="00A241F7">
        <w:rPr>
          <w:rFonts w:ascii="Arial" w:hAnsi="Arial" w:cs="Arial"/>
          <w:color w:val="FF0000"/>
          <w:sz w:val="16"/>
          <w:szCs w:val="16"/>
        </w:rPr>
        <w:t>Tonix Medicines, Inc.</w:t>
      </w:r>
      <w:r w:rsidRPr="00C95FA8">
        <w:rPr>
          <w:rFonts w:ascii="Arial" w:hAnsi="Arial" w:cs="Arial"/>
          <w:color w:val="FF0000"/>
          <w:sz w:val="16"/>
          <w:szCs w:val="16"/>
        </w:rPr>
        <w:t>]</w:t>
      </w:r>
    </w:p>
    <w:p w14:paraId="2A0D0CA3" w14:textId="6788811D" w:rsidR="00512C40" w:rsidRPr="005638B0" w:rsidRDefault="00C95FA8" w:rsidP="005638B0">
      <w:pPr>
        <w:rPr>
          <w:rFonts w:ascii="Arial" w:hAnsi="Arial" w:cs="Arial"/>
          <w:color w:val="FF0000"/>
          <w:sz w:val="16"/>
          <w:szCs w:val="16"/>
        </w:rPr>
      </w:pPr>
      <w:r w:rsidRPr="005638B0">
        <w:rPr>
          <w:rFonts w:ascii="Arial" w:hAnsi="Arial" w:cs="Arial"/>
          <w:color w:val="FF0000"/>
          <w:sz w:val="16"/>
          <w:szCs w:val="16"/>
        </w:rPr>
        <w:t>[</w:t>
      </w:r>
      <w:r w:rsidR="005638B0" w:rsidRPr="005638B0">
        <w:rPr>
          <w:rFonts w:ascii="Arial" w:hAnsi="Arial" w:cs="Arial"/>
          <w:color w:val="FF0000"/>
          <w:sz w:val="16"/>
          <w:szCs w:val="16"/>
        </w:rPr>
        <w:t>TNX-2400048 Rev 1 Rel:12/2024</w:t>
      </w:r>
      <w:r w:rsidRPr="005638B0">
        <w:rPr>
          <w:rFonts w:ascii="Arial" w:hAnsi="Arial" w:cs="Arial"/>
          <w:color w:val="FF0000"/>
          <w:sz w:val="16"/>
          <w:szCs w:val="16"/>
        </w:rPr>
        <w:t>]</w:t>
      </w:r>
    </w:p>
    <w:p w14:paraId="673D8FC2" w14:textId="77777777" w:rsidR="00DB4DEB" w:rsidRDefault="00DB4DEB" w:rsidP="00DB4DEB">
      <w:pPr>
        <w:pStyle w:val="ListParagraph"/>
        <w:autoSpaceDE w:val="0"/>
        <w:autoSpaceDN w:val="0"/>
        <w:adjustRightInd w:val="0"/>
        <w:ind w:left="0"/>
      </w:pPr>
    </w:p>
    <w:p w14:paraId="3FC1030F" w14:textId="77777777" w:rsidR="00DB4DEB" w:rsidRDefault="00DB4DEB" w:rsidP="00DB4DEB">
      <w:pPr>
        <w:pStyle w:val="ListParagraph"/>
        <w:autoSpaceDE w:val="0"/>
        <w:autoSpaceDN w:val="0"/>
        <w:adjustRightInd w:val="0"/>
        <w:ind w:left="0"/>
      </w:pPr>
    </w:p>
    <w:p w14:paraId="3511F861" w14:textId="77777777" w:rsidR="002C4AD3" w:rsidRPr="00B229C4" w:rsidRDefault="002C4AD3" w:rsidP="002C4AD3">
      <w:pPr>
        <w:rPr>
          <w:rFonts w:ascii="Arial" w:hAnsi="Arial" w:cs="Arial"/>
          <w:b/>
          <w:sz w:val="25"/>
          <w:szCs w:val="25"/>
        </w:rPr>
      </w:pPr>
      <w:r w:rsidRPr="00B229C4">
        <w:rPr>
          <w:rFonts w:ascii="Arial" w:hAnsi="Arial" w:cs="Arial"/>
          <w:b/>
          <w:sz w:val="25"/>
          <w:szCs w:val="25"/>
        </w:rPr>
        <w:t>IMPORTANT SAFETY INFORMATION</w:t>
      </w:r>
    </w:p>
    <w:p w14:paraId="0D727D8E" w14:textId="77777777" w:rsidR="002C4AD3" w:rsidRPr="00B229C4" w:rsidRDefault="002C4AD3" w:rsidP="002C4AD3">
      <w:pPr>
        <w:tabs>
          <w:tab w:val="left" w:pos="5325"/>
        </w:tabs>
        <w:rPr>
          <w:rFonts w:ascii="Arial" w:hAnsi="Arial" w:cs="Arial"/>
          <w:sz w:val="21"/>
          <w:szCs w:val="21"/>
        </w:rPr>
      </w:pPr>
    </w:p>
    <w:p w14:paraId="7C475BAB"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Zembrace</w:t>
      </w:r>
      <w:r w:rsidRPr="00B229C4">
        <w:rPr>
          <w:rFonts w:ascii="Arial" w:hAnsi="Arial" w:cs="Arial"/>
          <w:sz w:val="21"/>
          <w:szCs w:val="21"/>
          <w:vertAlign w:val="superscript"/>
        </w:rPr>
        <w:t>®</w:t>
      </w:r>
      <w:r w:rsidRPr="00B229C4">
        <w:rPr>
          <w:rFonts w:ascii="Arial" w:hAnsi="Arial" w:cs="Arial"/>
          <w:sz w:val="21"/>
          <w:szCs w:val="21"/>
        </w:rPr>
        <w:t xml:space="preserve"> SymTouch</w:t>
      </w:r>
      <w:r w:rsidRPr="00B229C4">
        <w:rPr>
          <w:rFonts w:ascii="Arial" w:hAnsi="Arial" w:cs="Arial"/>
          <w:sz w:val="21"/>
          <w:szCs w:val="21"/>
          <w:vertAlign w:val="superscript"/>
        </w:rPr>
        <w:t>®</w:t>
      </w:r>
      <w:r w:rsidRPr="00B229C4">
        <w:rPr>
          <w:rFonts w:ascii="Arial" w:hAnsi="Arial" w:cs="Arial"/>
          <w:sz w:val="21"/>
          <w:szCs w:val="21"/>
        </w:rPr>
        <w:t xml:space="preserve"> is contraindicated in patients with:</w:t>
      </w:r>
    </w:p>
    <w:p w14:paraId="589499F8"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Ischemic Coronary Artery Disease (CAD) (angina pectoris, history of myocardial infarction, or documented silent ischemia) or coronary artery vasospasm, including Prinzmetal’s angina.</w:t>
      </w:r>
    </w:p>
    <w:p w14:paraId="57E399D5"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Wolff-Parkinson-White syndrome or arrhythmias associated with other cardiac accessory conduction pathway disorders.</w:t>
      </w:r>
    </w:p>
    <w:p w14:paraId="519158F2"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History of stroke or transient ischemic attack (TIA) or history of hemiplegic or basilar migraine because these patients are at a higher risk of stroke.</w:t>
      </w:r>
    </w:p>
    <w:p w14:paraId="500E0A37"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Peripheral vascular disease</w:t>
      </w:r>
    </w:p>
    <w:p w14:paraId="45AAB2B4"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Ischemic bowel disease</w:t>
      </w:r>
    </w:p>
    <w:p w14:paraId="40966B3F"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Uncontrolled hypertension</w:t>
      </w:r>
    </w:p>
    <w:p w14:paraId="659D3124"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Recent (i.e., within 24 hours) use of ergotamine-containing medication, ergot-type medication (such as dihydroergotamine or methysergide), or another 5-hydroxytryptamine</w:t>
      </w:r>
      <w:r w:rsidRPr="00B229C4">
        <w:rPr>
          <w:rFonts w:ascii="Arial" w:hAnsi="Arial" w:cs="Arial"/>
          <w:sz w:val="21"/>
          <w:szCs w:val="21"/>
          <w:vertAlign w:val="subscript"/>
        </w:rPr>
        <w:t>1</w:t>
      </w:r>
      <w:r w:rsidRPr="00B229C4">
        <w:rPr>
          <w:rFonts w:ascii="Arial" w:hAnsi="Arial" w:cs="Arial"/>
          <w:sz w:val="21"/>
          <w:szCs w:val="21"/>
        </w:rPr>
        <w:t xml:space="preserve"> (5-HT</w:t>
      </w:r>
      <w:r w:rsidRPr="00B229C4">
        <w:rPr>
          <w:rFonts w:ascii="Arial" w:hAnsi="Arial" w:cs="Arial"/>
          <w:sz w:val="21"/>
          <w:szCs w:val="21"/>
          <w:vertAlign w:val="subscript"/>
        </w:rPr>
        <w:t>1</w:t>
      </w:r>
      <w:r w:rsidRPr="00B229C4">
        <w:rPr>
          <w:rFonts w:ascii="Arial" w:hAnsi="Arial" w:cs="Arial"/>
          <w:sz w:val="21"/>
          <w:szCs w:val="21"/>
        </w:rPr>
        <w:t>) agonist</w:t>
      </w:r>
    </w:p>
    <w:p w14:paraId="5A732970"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lastRenderedPageBreak/>
        <w:t>Concurrent administration of an MAO-A inhibitor or recent (within 2 weeks) use of an MAO-A inhibitor</w:t>
      </w:r>
    </w:p>
    <w:p w14:paraId="0F099518"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Known hypersensitivity to sumatriptan (angioedema and anaphylaxis seen)</w:t>
      </w:r>
    </w:p>
    <w:p w14:paraId="7DA9604E" w14:textId="77777777" w:rsidR="002C4AD3" w:rsidRPr="00B229C4" w:rsidRDefault="002C4AD3" w:rsidP="002C4AD3">
      <w:pPr>
        <w:numPr>
          <w:ilvl w:val="0"/>
          <w:numId w:val="5"/>
        </w:numPr>
        <w:spacing w:before="100" w:beforeAutospacing="1" w:after="100" w:afterAutospacing="1"/>
        <w:rPr>
          <w:rFonts w:ascii="Arial" w:hAnsi="Arial" w:cs="Arial"/>
          <w:sz w:val="21"/>
          <w:szCs w:val="21"/>
        </w:rPr>
      </w:pPr>
      <w:r w:rsidRPr="00B229C4">
        <w:rPr>
          <w:rFonts w:ascii="Arial" w:hAnsi="Arial" w:cs="Arial"/>
          <w:sz w:val="21"/>
          <w:szCs w:val="21"/>
        </w:rPr>
        <w:t>Severe hepatic impairment.</w:t>
      </w:r>
    </w:p>
    <w:p w14:paraId="65E07F14"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There have been rare reports of serious cardiac adverse reactions, including acute myocardial infarction, occurring within a few hours following administration of sumatriptan injection. Some of these reactions occurred in patients without known CAD. 5-HT</w:t>
      </w:r>
      <w:r w:rsidRPr="00B229C4">
        <w:rPr>
          <w:rFonts w:ascii="Arial" w:hAnsi="Arial" w:cs="Arial"/>
          <w:sz w:val="21"/>
          <w:szCs w:val="21"/>
          <w:vertAlign w:val="subscript"/>
        </w:rPr>
        <w:t>1</w:t>
      </w:r>
      <w:r w:rsidRPr="00B229C4">
        <w:rPr>
          <w:rFonts w:ascii="Arial" w:hAnsi="Arial" w:cs="Arial"/>
          <w:sz w:val="21"/>
          <w:szCs w:val="21"/>
        </w:rPr>
        <w:t xml:space="preserve"> agonists, including Zembrace SymTouch, may cause coronary artery vasospasm (Prinzmetal’s angina), even in patients without a history of CAD.</w:t>
      </w:r>
    </w:p>
    <w:p w14:paraId="70780E16"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Perform a cardiovascular evaluation in triptan-naive patients who have multiple cardiovascular risk factors prior to receiving Zembrace SymTouch. For patients with multiple cardiovascular risk factors who have a negative cardiovascular evaluation, consider administering the first dose of Zembrace SymTouch in a medically supervised setting and performing an electrocardiogram (ECG) immediately following Zembrace SymTouch. For such patients, consider periodic cardiovascular evaluation in intermittent long-term users of Zembrace SymTouch.</w:t>
      </w:r>
    </w:p>
    <w:p w14:paraId="48C14A71"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Life-threatening disturbances of cardiac rhythm, including ventricular tachycardia and ventricular fibrillation leading to death, have been reported within a few hours following the administration of 5-HT</w:t>
      </w:r>
      <w:r w:rsidRPr="00B229C4">
        <w:rPr>
          <w:rFonts w:ascii="Arial" w:hAnsi="Arial" w:cs="Arial"/>
          <w:sz w:val="21"/>
          <w:szCs w:val="21"/>
          <w:vertAlign w:val="subscript"/>
        </w:rPr>
        <w:t>1</w:t>
      </w:r>
      <w:r w:rsidRPr="00B229C4">
        <w:rPr>
          <w:rFonts w:ascii="Arial" w:hAnsi="Arial" w:cs="Arial"/>
          <w:sz w:val="21"/>
          <w:szCs w:val="21"/>
        </w:rPr>
        <w:t xml:space="preserve"> agonists. Discontinue Zembrace SymTouch if these disturbances occur.</w:t>
      </w:r>
    </w:p>
    <w:p w14:paraId="3A51B2FC"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Sensations of tightness, pain, pressure, and heaviness in the precordium, throat, neck, and jaw commonly occur after treatment with sumatriptan injection and are usually non-cardiac in origin. However, perform a cardiac evaluation if these patients are at high cardiac risk.</w:t>
      </w:r>
    </w:p>
    <w:p w14:paraId="6B4C3088"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Cerebrovascular events including cerebral hemorrhage, subarachnoid hemorrhage, and stroke have occurred in patients treated with 5-HT</w:t>
      </w:r>
      <w:r w:rsidRPr="00B229C4">
        <w:rPr>
          <w:rFonts w:ascii="Arial" w:hAnsi="Arial" w:cs="Arial"/>
          <w:sz w:val="21"/>
          <w:szCs w:val="21"/>
          <w:vertAlign w:val="subscript"/>
        </w:rPr>
        <w:t>1</w:t>
      </w:r>
      <w:r w:rsidRPr="00B229C4">
        <w:rPr>
          <w:rFonts w:ascii="Arial" w:hAnsi="Arial" w:cs="Arial"/>
          <w:sz w:val="21"/>
          <w:szCs w:val="21"/>
        </w:rPr>
        <w:t xml:space="preserve"> agonists, and some have resulted in fatalities. Discontinue Zembrace SymTouch if a cerebrovascular event occurs.</w:t>
      </w:r>
    </w:p>
    <w:p w14:paraId="64EEBA14"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Zembrace SymTouch may cause non-coronary vasospastic reactions, such as peripheral vascular ischemia, gastrointestinal vascular ischemia and infarction, splenic infarction, and Raynaud’s syndrome.</w:t>
      </w:r>
    </w:p>
    <w:p w14:paraId="35658807"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Overuse of acute migraine drugs may lead to exacerbation of headache (medication overuse headache). Detoxification of patients, including withdrawal of the overused drugs, and treatment of withdrawal symptoms may be necessary.</w:t>
      </w:r>
    </w:p>
    <w:p w14:paraId="13204A90"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Serotonin syndrome may occur with Zembrace SymTouch, particularly during co-administration with selective serotonin reuptake inhibitors (SSRIs), serotonin norepinephrine reuptake inhibitors (SNRIs), tricyclic antidepressants (TCAs), and MAO inhibitors. Serotonin syndrome symptoms may include mental status changes (e.g., agitation, hallucinations, coma), autonomic instability (e.g., tachycardia, labile blood pressure, hyperthermia), neuromuscular aberrations (e.g., hyperreflexia, incoordination), and/or gastrointestinal symptoms (e.g., nausea, vomiting, diarrhea). Discontinue Zembrace SymTouch if serotonin syndrome is suspected.</w:t>
      </w:r>
    </w:p>
    <w:p w14:paraId="58D93DDE"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Significant elevation in blood pressure, including hypertensive crisis with acute impairment of organ systems, has been reported on rare occasions in patients treated with 5-HT</w:t>
      </w:r>
      <w:r w:rsidRPr="00B229C4">
        <w:rPr>
          <w:rFonts w:ascii="Arial" w:hAnsi="Arial" w:cs="Arial"/>
          <w:sz w:val="21"/>
          <w:szCs w:val="21"/>
          <w:vertAlign w:val="subscript"/>
        </w:rPr>
        <w:t>1</w:t>
      </w:r>
      <w:r w:rsidRPr="00B229C4">
        <w:rPr>
          <w:rFonts w:ascii="Arial" w:hAnsi="Arial" w:cs="Arial"/>
          <w:sz w:val="21"/>
          <w:szCs w:val="21"/>
        </w:rPr>
        <w:t xml:space="preserve"> agonists, including patients without a history of hypertension. Monitor blood pressure in patients treated with Zembrace SymTouch.</w:t>
      </w:r>
    </w:p>
    <w:p w14:paraId="21275966"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Seizures have been reported following administration of sumatriptan. Some have occurred in patients with either a history of seizures or concurrent conditions predisposing to seizures. Zembrace SymTouch should be used with caution in patients with a history of epilepsy or conditions associated with a lowered seizure threshold.</w:t>
      </w:r>
    </w:p>
    <w:p w14:paraId="7D9D592B"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Most common adverse reactions (≥5% and &gt; placebo) were injection site reactions, tingling, dizziness/vertigo, warm/hot sensation, burning sensation, feeling of heaviness, pressure sensation, flushing, feeling of tightness, and numbness/paresthesia.</w:t>
      </w:r>
    </w:p>
    <w:p w14:paraId="1872D2E4" w14:textId="34B3B669" w:rsidR="002C4AD3" w:rsidRPr="00B229C4" w:rsidRDefault="002C4AD3" w:rsidP="002C4AD3">
      <w:pPr>
        <w:spacing w:before="100" w:beforeAutospacing="1" w:after="100" w:afterAutospacing="1"/>
        <w:rPr>
          <w:rFonts w:ascii="Arial" w:hAnsi="Arial" w:cs="Arial"/>
          <w:sz w:val="21"/>
          <w:szCs w:val="21"/>
        </w:rPr>
      </w:pPr>
      <w:r w:rsidRPr="00B229C4">
        <w:rPr>
          <w:rFonts w:ascii="Arial" w:hAnsi="Arial" w:cs="Arial"/>
          <w:sz w:val="21"/>
          <w:szCs w:val="21"/>
        </w:rPr>
        <w:t>This safety information is not comprehensive. Please refer to the Zembrace SymTouch</w:t>
      </w:r>
      <w:r>
        <w:rPr>
          <w:rFonts w:ascii="Arial" w:hAnsi="Arial" w:cs="Arial"/>
          <w:sz w:val="21"/>
          <w:szCs w:val="21"/>
        </w:rPr>
        <w:t xml:space="preserve"> full</w:t>
      </w:r>
      <w:r w:rsidRPr="00B229C4">
        <w:rPr>
          <w:rFonts w:ascii="Arial" w:hAnsi="Arial" w:cs="Arial"/>
          <w:sz w:val="21"/>
          <w:szCs w:val="21"/>
        </w:rPr>
        <w:t xml:space="preserve"> </w:t>
      </w:r>
      <w:hyperlink r:id="rId9" w:history="1">
        <w:r w:rsidRPr="002E0BFC">
          <w:rPr>
            <w:rStyle w:val="Hyperlink"/>
            <w:rFonts w:ascii="Arial" w:hAnsi="Arial" w:cs="Arial"/>
            <w:sz w:val="21"/>
            <w:szCs w:val="21"/>
          </w:rPr>
          <w:t>Prescribing Information</w:t>
        </w:r>
      </w:hyperlink>
      <w:r w:rsidRPr="00B229C4">
        <w:rPr>
          <w:rFonts w:ascii="Arial" w:hAnsi="Arial" w:cs="Arial"/>
          <w:color w:val="000000" w:themeColor="text1"/>
          <w:sz w:val="21"/>
          <w:szCs w:val="21"/>
        </w:rPr>
        <w:t xml:space="preserve">, </w:t>
      </w:r>
      <w:hyperlink r:id="rId10" w:history="1">
        <w:r w:rsidRPr="002E0BFC">
          <w:rPr>
            <w:rStyle w:val="Hyperlink"/>
            <w:rFonts w:ascii="Arial" w:hAnsi="Arial" w:cs="Arial"/>
            <w:sz w:val="21"/>
            <w:szCs w:val="21"/>
          </w:rPr>
          <w:t>Patient Information</w:t>
        </w:r>
      </w:hyperlink>
      <w:r w:rsidRPr="00B229C4">
        <w:rPr>
          <w:rFonts w:ascii="Arial" w:hAnsi="Arial" w:cs="Arial"/>
          <w:sz w:val="21"/>
          <w:szCs w:val="21"/>
        </w:rPr>
        <w:t xml:space="preserve">, and </w:t>
      </w:r>
      <w:hyperlink r:id="rId11" w:history="1">
        <w:r w:rsidRPr="002E0BFC">
          <w:rPr>
            <w:rStyle w:val="Hyperlink"/>
            <w:rFonts w:ascii="Arial" w:hAnsi="Arial" w:cs="Arial"/>
            <w:sz w:val="21"/>
            <w:szCs w:val="21"/>
          </w:rPr>
          <w:t>Instructions for Use</w:t>
        </w:r>
      </w:hyperlink>
      <w:r w:rsidRPr="00B229C4">
        <w:rPr>
          <w:rFonts w:ascii="Arial" w:hAnsi="Arial" w:cs="Arial"/>
          <w:sz w:val="21"/>
          <w:szCs w:val="21"/>
        </w:rPr>
        <w:t xml:space="preserve">. You can also visit </w:t>
      </w:r>
      <w:hyperlink r:id="rId12" w:history="1">
        <w:r w:rsidRPr="002E0BFC">
          <w:rPr>
            <w:rStyle w:val="Hyperlink"/>
            <w:rFonts w:ascii="Arial" w:hAnsi="Arial" w:cs="Arial"/>
            <w:sz w:val="21"/>
            <w:szCs w:val="21"/>
          </w:rPr>
          <w:t>www.</w:t>
        </w:r>
        <w:r w:rsidR="002E0BFC" w:rsidRPr="002E0BFC">
          <w:rPr>
            <w:rStyle w:val="Hyperlink"/>
            <w:rFonts w:ascii="Arial" w:hAnsi="Arial" w:cs="Arial"/>
            <w:sz w:val="21"/>
            <w:szCs w:val="21"/>
          </w:rPr>
          <w:t>tonixpharma</w:t>
        </w:r>
        <w:r w:rsidRPr="002E0BFC">
          <w:rPr>
            <w:rStyle w:val="Hyperlink"/>
            <w:rFonts w:ascii="Arial" w:hAnsi="Arial" w:cs="Arial"/>
            <w:sz w:val="21"/>
            <w:szCs w:val="21"/>
          </w:rPr>
          <w:t>.com</w:t>
        </w:r>
      </w:hyperlink>
      <w:r w:rsidRPr="00B229C4">
        <w:rPr>
          <w:rFonts w:ascii="Arial" w:hAnsi="Arial" w:cs="Arial"/>
          <w:sz w:val="21"/>
          <w:szCs w:val="21"/>
        </w:rPr>
        <w:t xml:space="preserve"> or call 1-888-</w:t>
      </w:r>
      <w:r w:rsidR="00AC3194">
        <w:rPr>
          <w:rFonts w:ascii="Arial" w:hAnsi="Arial" w:cs="Arial"/>
          <w:sz w:val="21"/>
          <w:szCs w:val="21"/>
        </w:rPr>
        <w:t>869-7633</w:t>
      </w:r>
      <w:r w:rsidRPr="00B229C4">
        <w:rPr>
          <w:rFonts w:ascii="Arial" w:hAnsi="Arial" w:cs="Arial"/>
          <w:sz w:val="21"/>
          <w:szCs w:val="21"/>
        </w:rPr>
        <w:t>.</w:t>
      </w:r>
    </w:p>
    <w:p w14:paraId="08112982" w14:textId="498A10E4" w:rsidR="002C4AD3" w:rsidRPr="00B229C4" w:rsidRDefault="002C4AD3" w:rsidP="002C4AD3">
      <w:pPr>
        <w:spacing w:before="100" w:beforeAutospacing="1" w:after="100" w:afterAutospacing="1"/>
        <w:rPr>
          <w:rFonts w:ascii="Arial" w:eastAsia="Times New Roman" w:hAnsi="Arial" w:cs="Arial"/>
          <w:sz w:val="21"/>
          <w:szCs w:val="21"/>
        </w:rPr>
      </w:pPr>
      <w:r w:rsidRPr="00B229C4">
        <w:rPr>
          <w:rFonts w:ascii="Arial" w:hAnsi="Arial" w:cs="Arial"/>
          <w:sz w:val="21"/>
          <w:szCs w:val="21"/>
        </w:rPr>
        <w:lastRenderedPageBreak/>
        <w:t>You are encouraged to report suspected adverse reactions to</w:t>
      </w:r>
      <w:r w:rsidRPr="00B229C4">
        <w:rPr>
          <w:rFonts w:ascii="Arial" w:eastAsia="Times New Roman" w:hAnsi="Arial" w:cs="Arial"/>
          <w:bCs/>
          <w:sz w:val="21"/>
          <w:szCs w:val="21"/>
        </w:rPr>
        <w:t xml:space="preserve"> </w:t>
      </w:r>
      <w:r w:rsidR="002E0BFC">
        <w:rPr>
          <w:rFonts w:ascii="Arial" w:eastAsia="Times New Roman" w:hAnsi="Arial" w:cs="Arial"/>
          <w:bCs/>
          <w:sz w:val="21"/>
          <w:szCs w:val="21"/>
        </w:rPr>
        <w:t>Tonix Medicines</w:t>
      </w:r>
      <w:r w:rsidRPr="00B229C4">
        <w:rPr>
          <w:rFonts w:ascii="Arial" w:eastAsia="Times New Roman" w:hAnsi="Arial" w:cs="Arial"/>
          <w:bCs/>
          <w:sz w:val="21"/>
          <w:szCs w:val="21"/>
        </w:rPr>
        <w:t xml:space="preserve"> at </w:t>
      </w:r>
      <w:r w:rsidR="002E0BFC" w:rsidRPr="002E0BFC">
        <w:rPr>
          <w:rFonts w:ascii="Arial" w:eastAsia="Times New Roman" w:hAnsi="Arial" w:cs="Arial"/>
          <w:bCs/>
          <w:sz w:val="21"/>
          <w:szCs w:val="21"/>
        </w:rPr>
        <w:t>1-888-869-7633</w:t>
      </w:r>
      <w:r w:rsidRPr="00B229C4">
        <w:rPr>
          <w:rFonts w:ascii="Arial" w:eastAsia="Times New Roman" w:hAnsi="Arial" w:cs="Arial"/>
          <w:bCs/>
          <w:sz w:val="21"/>
          <w:szCs w:val="21"/>
        </w:rPr>
        <w:t xml:space="preserve"> or to the FDA by visiting </w:t>
      </w:r>
      <w:hyperlink r:id="rId13" w:history="1">
        <w:r w:rsidRPr="00B229C4">
          <w:rPr>
            <w:rStyle w:val="Hyperlink"/>
            <w:rFonts w:ascii="Arial" w:eastAsia="Times New Roman" w:hAnsi="Arial" w:cs="Arial"/>
            <w:bCs/>
            <w:color w:val="000000" w:themeColor="text1"/>
            <w:sz w:val="21"/>
            <w:szCs w:val="21"/>
          </w:rPr>
          <w:t>www.fda.gov/medwatch</w:t>
        </w:r>
      </w:hyperlink>
      <w:r w:rsidRPr="00B229C4">
        <w:rPr>
          <w:rFonts w:ascii="Arial" w:eastAsia="Times New Roman" w:hAnsi="Arial" w:cs="Arial"/>
          <w:bCs/>
          <w:sz w:val="21"/>
          <w:szCs w:val="21"/>
        </w:rPr>
        <w:t xml:space="preserve"> or calling 1-800-FDA-1088.</w:t>
      </w:r>
      <w:r w:rsidRPr="00B229C4">
        <w:rPr>
          <w:rFonts w:ascii="Arial" w:eastAsia="Times New Roman" w:hAnsi="Arial" w:cs="Arial"/>
          <w:b/>
          <w:bCs/>
          <w:sz w:val="21"/>
          <w:szCs w:val="21"/>
        </w:rPr>
        <w:t> </w:t>
      </w:r>
    </w:p>
    <w:p w14:paraId="157207F1" w14:textId="77777777" w:rsidR="002C4AD3" w:rsidRPr="00B229C4" w:rsidRDefault="002C4AD3" w:rsidP="002C4AD3">
      <w:pPr>
        <w:pStyle w:val="Heading4"/>
        <w:spacing w:after="0" w:afterAutospacing="0"/>
        <w:rPr>
          <w:rFonts w:ascii="Arial" w:hAnsi="Arial" w:cs="Arial"/>
          <w:color w:val="auto"/>
          <w:sz w:val="25"/>
          <w:szCs w:val="25"/>
        </w:rPr>
      </w:pPr>
      <w:r w:rsidRPr="00B229C4">
        <w:rPr>
          <w:rFonts w:ascii="Arial" w:hAnsi="Arial" w:cs="Arial"/>
          <w:color w:val="auto"/>
          <w:sz w:val="25"/>
          <w:szCs w:val="25"/>
        </w:rPr>
        <w:t>INDICATION AND USAGE</w:t>
      </w:r>
    </w:p>
    <w:p w14:paraId="52A7665E"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rPr>
        <w:t>Zembrace SymTouch is indicated for the acute treatment of migraine with or without aura in adults.</w:t>
      </w:r>
    </w:p>
    <w:p w14:paraId="7B0EF85D" w14:textId="77777777" w:rsidR="002C4AD3" w:rsidRPr="00B229C4" w:rsidRDefault="002C4AD3" w:rsidP="002C4AD3">
      <w:pPr>
        <w:pStyle w:val="NormalWeb"/>
        <w:rPr>
          <w:rFonts w:ascii="Arial" w:hAnsi="Arial" w:cs="Arial"/>
          <w:sz w:val="21"/>
          <w:szCs w:val="21"/>
        </w:rPr>
      </w:pPr>
      <w:r w:rsidRPr="00B229C4">
        <w:rPr>
          <w:rFonts w:ascii="Arial" w:hAnsi="Arial" w:cs="Arial"/>
          <w:sz w:val="21"/>
          <w:szCs w:val="21"/>
          <w:u w:val="single"/>
        </w:rPr>
        <w:t>Limitations of Use:</w:t>
      </w:r>
    </w:p>
    <w:p w14:paraId="085B0E49" w14:textId="77777777" w:rsidR="002C4AD3" w:rsidRPr="00B229C4" w:rsidRDefault="002C4AD3" w:rsidP="002C4AD3">
      <w:pPr>
        <w:numPr>
          <w:ilvl w:val="0"/>
          <w:numId w:val="6"/>
        </w:numPr>
        <w:spacing w:before="100" w:beforeAutospacing="1" w:after="100" w:afterAutospacing="1"/>
        <w:rPr>
          <w:rFonts w:ascii="Arial" w:hAnsi="Arial" w:cs="Arial"/>
          <w:sz w:val="21"/>
          <w:szCs w:val="21"/>
        </w:rPr>
      </w:pPr>
      <w:r w:rsidRPr="00B229C4">
        <w:rPr>
          <w:rFonts w:ascii="Arial" w:hAnsi="Arial" w:cs="Arial"/>
          <w:sz w:val="21"/>
          <w:szCs w:val="21"/>
        </w:rPr>
        <w:t>Use only if a clear diagnosis of migraine has been established. If a patient has no response to the first migraine attack treated with Zembrace SymTouch, reconsider the diagnosis before Zembrace SymTouch is administered to treat any subsequent attacks.</w:t>
      </w:r>
    </w:p>
    <w:p w14:paraId="283FBBCC" w14:textId="77777777" w:rsidR="002C4AD3" w:rsidRDefault="002C4AD3" w:rsidP="002C4AD3">
      <w:pPr>
        <w:numPr>
          <w:ilvl w:val="0"/>
          <w:numId w:val="6"/>
        </w:numPr>
        <w:spacing w:before="100" w:beforeAutospacing="1" w:after="100" w:afterAutospacing="1"/>
        <w:rPr>
          <w:rFonts w:ascii="Arial" w:hAnsi="Arial" w:cs="Arial"/>
          <w:sz w:val="21"/>
          <w:szCs w:val="21"/>
        </w:rPr>
      </w:pPr>
      <w:r w:rsidRPr="00B229C4">
        <w:rPr>
          <w:rFonts w:ascii="Arial" w:hAnsi="Arial" w:cs="Arial"/>
          <w:sz w:val="21"/>
          <w:szCs w:val="21"/>
        </w:rPr>
        <w:t>Zembrace SymTouch is not indicated for the prevention of migraine attacks.</w:t>
      </w:r>
    </w:p>
    <w:p w14:paraId="314197FD" w14:textId="77777777" w:rsidR="007765AF" w:rsidRDefault="007765AF" w:rsidP="007765AF">
      <w:pPr>
        <w:spacing w:before="100" w:beforeAutospacing="1" w:after="100" w:afterAutospacing="1"/>
        <w:rPr>
          <w:rFonts w:ascii="Arial" w:hAnsi="Arial" w:cs="Arial"/>
          <w:sz w:val="21"/>
          <w:szCs w:val="21"/>
        </w:rPr>
      </w:pPr>
    </w:p>
    <w:p w14:paraId="461FAD96" w14:textId="77777777" w:rsidR="007765AF" w:rsidRDefault="007765AF" w:rsidP="007765AF">
      <w:pPr>
        <w:spacing w:before="100" w:beforeAutospacing="1" w:after="100" w:afterAutospacing="1"/>
        <w:rPr>
          <w:rFonts w:ascii="Arial" w:hAnsi="Arial" w:cs="Arial"/>
          <w:sz w:val="21"/>
          <w:szCs w:val="21"/>
        </w:rPr>
      </w:pPr>
    </w:p>
    <w:p w14:paraId="3C632C01" w14:textId="77777777" w:rsidR="007765AF" w:rsidRDefault="007765AF" w:rsidP="007765AF">
      <w:pPr>
        <w:spacing w:before="100" w:beforeAutospacing="1" w:after="100" w:afterAutospacing="1"/>
        <w:rPr>
          <w:rFonts w:ascii="Arial" w:hAnsi="Arial" w:cs="Arial"/>
          <w:sz w:val="21"/>
          <w:szCs w:val="21"/>
        </w:rPr>
      </w:pPr>
    </w:p>
    <w:p w14:paraId="52C54173" w14:textId="77777777" w:rsidR="007765AF" w:rsidRDefault="007765AF" w:rsidP="007765AF">
      <w:pPr>
        <w:spacing w:before="100" w:beforeAutospacing="1" w:after="100" w:afterAutospacing="1"/>
        <w:rPr>
          <w:rFonts w:ascii="Arial" w:hAnsi="Arial" w:cs="Arial"/>
          <w:sz w:val="21"/>
          <w:szCs w:val="21"/>
        </w:rPr>
      </w:pPr>
    </w:p>
    <w:p w14:paraId="098303C6" w14:textId="77777777" w:rsidR="007765AF" w:rsidRDefault="007765AF" w:rsidP="007765AF">
      <w:pPr>
        <w:spacing w:before="100" w:beforeAutospacing="1" w:after="100" w:afterAutospacing="1"/>
        <w:rPr>
          <w:rFonts w:ascii="Arial" w:hAnsi="Arial" w:cs="Arial"/>
          <w:sz w:val="21"/>
          <w:szCs w:val="21"/>
        </w:rPr>
      </w:pPr>
    </w:p>
    <w:p w14:paraId="2F4DE0DF" w14:textId="77777777" w:rsidR="007765AF" w:rsidRDefault="007765AF" w:rsidP="007765AF">
      <w:pPr>
        <w:spacing w:before="100" w:beforeAutospacing="1" w:after="100" w:afterAutospacing="1"/>
        <w:rPr>
          <w:rFonts w:ascii="Arial" w:hAnsi="Arial" w:cs="Arial"/>
          <w:sz w:val="21"/>
          <w:szCs w:val="21"/>
        </w:rPr>
      </w:pPr>
    </w:p>
    <w:p w14:paraId="1A3A77A7" w14:textId="77777777" w:rsidR="007765AF" w:rsidRDefault="007765AF" w:rsidP="007765AF">
      <w:pPr>
        <w:spacing w:before="100" w:beforeAutospacing="1" w:after="100" w:afterAutospacing="1"/>
        <w:rPr>
          <w:rFonts w:ascii="Arial" w:hAnsi="Arial" w:cs="Arial"/>
          <w:sz w:val="21"/>
          <w:szCs w:val="21"/>
        </w:rPr>
      </w:pPr>
    </w:p>
    <w:p w14:paraId="1B53878E" w14:textId="77777777" w:rsidR="007765AF" w:rsidRDefault="007765AF" w:rsidP="007765AF">
      <w:pPr>
        <w:spacing w:before="100" w:beforeAutospacing="1" w:after="100" w:afterAutospacing="1"/>
        <w:rPr>
          <w:rFonts w:ascii="Arial" w:hAnsi="Arial" w:cs="Arial"/>
          <w:sz w:val="21"/>
          <w:szCs w:val="21"/>
        </w:rPr>
      </w:pPr>
    </w:p>
    <w:p w14:paraId="5EAF0E85" w14:textId="77777777" w:rsidR="007765AF" w:rsidRDefault="007765AF" w:rsidP="007765AF">
      <w:pPr>
        <w:spacing w:before="100" w:beforeAutospacing="1" w:after="100" w:afterAutospacing="1"/>
        <w:rPr>
          <w:rFonts w:ascii="Arial" w:hAnsi="Arial" w:cs="Arial"/>
          <w:sz w:val="21"/>
          <w:szCs w:val="21"/>
        </w:rPr>
      </w:pPr>
    </w:p>
    <w:p w14:paraId="5C61DFF5" w14:textId="77777777" w:rsidR="007765AF" w:rsidRDefault="007765AF" w:rsidP="007765AF">
      <w:pPr>
        <w:spacing w:before="100" w:beforeAutospacing="1" w:after="100" w:afterAutospacing="1"/>
        <w:rPr>
          <w:rFonts w:ascii="Arial" w:hAnsi="Arial" w:cs="Arial"/>
          <w:sz w:val="21"/>
          <w:szCs w:val="21"/>
        </w:rPr>
      </w:pPr>
    </w:p>
    <w:p w14:paraId="06007501" w14:textId="77777777" w:rsidR="007765AF" w:rsidRPr="00B229C4" w:rsidRDefault="007765AF" w:rsidP="007765AF">
      <w:pPr>
        <w:spacing w:before="100" w:beforeAutospacing="1" w:after="100" w:afterAutospacing="1"/>
        <w:rPr>
          <w:rFonts w:ascii="Arial" w:hAnsi="Arial" w:cs="Arial"/>
          <w:sz w:val="21"/>
          <w:szCs w:val="21"/>
        </w:rPr>
      </w:pPr>
    </w:p>
    <w:p w14:paraId="6A9F1A68" w14:textId="77777777" w:rsidR="00DB4DEB" w:rsidRDefault="00DB4DEB" w:rsidP="00DB4DEB">
      <w:pPr>
        <w:pStyle w:val="ListParagraph"/>
        <w:autoSpaceDE w:val="0"/>
        <w:autoSpaceDN w:val="0"/>
        <w:adjustRightInd w:val="0"/>
        <w:ind w:left="0"/>
      </w:pPr>
    </w:p>
    <w:p w14:paraId="74C4FE51" w14:textId="77777777" w:rsidR="00DB4DEB" w:rsidRDefault="00DB4DEB" w:rsidP="00DB4DEB">
      <w:pPr>
        <w:pStyle w:val="ListParagraph"/>
        <w:autoSpaceDE w:val="0"/>
        <w:autoSpaceDN w:val="0"/>
        <w:adjustRightInd w:val="0"/>
        <w:ind w:left="0"/>
      </w:pPr>
    </w:p>
    <w:p w14:paraId="445D50E7" w14:textId="77777777" w:rsidR="00DB4DEB" w:rsidRDefault="00DB4DEB" w:rsidP="00DB4DEB">
      <w:pPr>
        <w:pStyle w:val="ListParagraph"/>
        <w:autoSpaceDE w:val="0"/>
        <w:autoSpaceDN w:val="0"/>
        <w:adjustRightInd w:val="0"/>
        <w:ind w:left="0"/>
      </w:pPr>
    </w:p>
    <w:p w14:paraId="4AF581EA" w14:textId="77777777" w:rsidR="00DB4DEB" w:rsidRDefault="00DB4DEB" w:rsidP="00DB4DEB">
      <w:pPr>
        <w:pStyle w:val="ListParagraph"/>
        <w:autoSpaceDE w:val="0"/>
        <w:autoSpaceDN w:val="0"/>
        <w:adjustRightInd w:val="0"/>
        <w:ind w:left="0"/>
      </w:pPr>
    </w:p>
    <w:p w14:paraId="4785B93C" w14:textId="77777777" w:rsidR="00DB4DEB" w:rsidRPr="00547DFD" w:rsidRDefault="00DB4DEB" w:rsidP="00DB4DEB">
      <w:pPr>
        <w:pStyle w:val="ListParagraph"/>
        <w:autoSpaceDE w:val="0"/>
        <w:autoSpaceDN w:val="0"/>
        <w:adjustRightInd w:val="0"/>
        <w:ind w:left="0"/>
        <w:rPr>
          <w:rFonts w:ascii="Arial" w:hAnsi="Arial" w:cs="Arial"/>
          <w:sz w:val="21"/>
          <w:szCs w:val="21"/>
        </w:rPr>
      </w:pPr>
    </w:p>
    <w:p w14:paraId="70201AB8" w14:textId="77777777" w:rsidR="00DB4DEB" w:rsidRPr="00CF519F" w:rsidRDefault="00DB4DEB" w:rsidP="00DB4DEB">
      <w:pPr>
        <w:autoSpaceDE w:val="0"/>
        <w:autoSpaceDN w:val="0"/>
        <w:adjustRightInd w:val="0"/>
        <w:rPr>
          <w:rFonts w:ascii="Arial" w:eastAsia="Times New Roman" w:hAnsi="Arial" w:cs="Arial"/>
          <w:sz w:val="16"/>
          <w:szCs w:val="16"/>
        </w:rPr>
      </w:pPr>
    </w:p>
    <w:p w14:paraId="07ADD3C7" w14:textId="77777777" w:rsidR="007F4F95" w:rsidRDefault="007F4F95" w:rsidP="00DB4DEB"/>
    <w:p w14:paraId="2CA8945A" w14:textId="77777777" w:rsidR="007765AF" w:rsidRDefault="007765AF" w:rsidP="00DB4DEB"/>
    <w:p w14:paraId="4AA17346" w14:textId="77777777" w:rsidR="007765AF" w:rsidRDefault="007765AF" w:rsidP="00DB4DEB"/>
    <w:p w14:paraId="019349D4" w14:textId="77777777" w:rsidR="007765AF" w:rsidRDefault="007765AF" w:rsidP="00DB4DEB"/>
    <w:p w14:paraId="0416A2A8" w14:textId="77777777" w:rsidR="007765AF" w:rsidRDefault="007765AF" w:rsidP="00DB4DEB"/>
    <w:p w14:paraId="630FD17A" w14:textId="77777777" w:rsidR="007765AF" w:rsidRDefault="007765AF" w:rsidP="00DB4DEB"/>
    <w:p w14:paraId="78712633" w14:textId="77777777" w:rsidR="007765AF" w:rsidRDefault="007765AF" w:rsidP="00DB4DEB"/>
    <w:p w14:paraId="7704B4BF" w14:textId="77777777" w:rsidR="007765AF" w:rsidRDefault="007765AF" w:rsidP="00DB4DEB"/>
    <w:p w14:paraId="5B274F91" w14:textId="77777777" w:rsidR="007765AF" w:rsidRDefault="007765AF" w:rsidP="00DB4DEB"/>
    <w:p w14:paraId="25984DEC" w14:textId="77777777" w:rsidR="007765AF" w:rsidRDefault="007765AF" w:rsidP="00DB4DEB"/>
    <w:p w14:paraId="09A646F4" w14:textId="77777777" w:rsidR="007765AF" w:rsidRDefault="007765AF" w:rsidP="00DB4DEB"/>
    <w:p w14:paraId="5A27A7A2" w14:textId="77777777" w:rsidR="007765AF" w:rsidRDefault="007765AF" w:rsidP="00DB4DEB"/>
    <w:sectPr w:rsidR="007765AF" w:rsidSect="002C4AD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10F7" w14:textId="77777777" w:rsidR="0046470B" w:rsidRDefault="0046470B" w:rsidP="00E41254">
      <w:r>
        <w:separator/>
      </w:r>
    </w:p>
  </w:endnote>
  <w:endnote w:type="continuationSeparator" w:id="0">
    <w:p w14:paraId="4E96B315" w14:textId="77777777" w:rsidR="0046470B" w:rsidRDefault="0046470B" w:rsidP="00E4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48750" w14:textId="77777777" w:rsidR="0046470B" w:rsidRDefault="0046470B" w:rsidP="00E41254">
      <w:r>
        <w:separator/>
      </w:r>
    </w:p>
  </w:footnote>
  <w:footnote w:type="continuationSeparator" w:id="0">
    <w:p w14:paraId="7D18CA21" w14:textId="77777777" w:rsidR="0046470B" w:rsidRDefault="0046470B" w:rsidP="00E4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45360"/>
    <w:multiLevelType w:val="hybridMultilevel"/>
    <w:tmpl w:val="038EA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5461D"/>
    <w:multiLevelType w:val="multilevel"/>
    <w:tmpl w:val="FC6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F649A"/>
    <w:multiLevelType w:val="hybridMultilevel"/>
    <w:tmpl w:val="8B7C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24F10"/>
    <w:multiLevelType w:val="hybridMultilevel"/>
    <w:tmpl w:val="9C44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64E76"/>
    <w:multiLevelType w:val="hybridMultilevel"/>
    <w:tmpl w:val="79B8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36C1C"/>
    <w:multiLevelType w:val="multilevel"/>
    <w:tmpl w:val="836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053824">
    <w:abstractNumId w:val="4"/>
  </w:num>
  <w:num w:numId="2" w16cid:durableId="931625934">
    <w:abstractNumId w:val="3"/>
  </w:num>
  <w:num w:numId="3" w16cid:durableId="1866290126">
    <w:abstractNumId w:val="2"/>
  </w:num>
  <w:num w:numId="4" w16cid:durableId="1892957767">
    <w:abstractNumId w:val="0"/>
  </w:num>
  <w:num w:numId="5" w16cid:durableId="2062822132">
    <w:abstractNumId w:val="1"/>
  </w:num>
  <w:num w:numId="6" w16cid:durableId="17313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EB"/>
    <w:rsid w:val="000B4B74"/>
    <w:rsid w:val="000E1829"/>
    <w:rsid w:val="00124C1A"/>
    <w:rsid w:val="00183BCA"/>
    <w:rsid w:val="001A763B"/>
    <w:rsid w:val="001D65C0"/>
    <w:rsid w:val="001F09EB"/>
    <w:rsid w:val="002020B0"/>
    <w:rsid w:val="0027500D"/>
    <w:rsid w:val="002A262D"/>
    <w:rsid w:val="002B1F39"/>
    <w:rsid w:val="002B7A9C"/>
    <w:rsid w:val="002C4AD3"/>
    <w:rsid w:val="002D5053"/>
    <w:rsid w:val="002D5B26"/>
    <w:rsid w:val="002E0BFC"/>
    <w:rsid w:val="003E6C33"/>
    <w:rsid w:val="00412E22"/>
    <w:rsid w:val="0046470B"/>
    <w:rsid w:val="00476838"/>
    <w:rsid w:val="00487B6B"/>
    <w:rsid w:val="0049003C"/>
    <w:rsid w:val="004A1D3A"/>
    <w:rsid w:val="004F211F"/>
    <w:rsid w:val="004F6660"/>
    <w:rsid w:val="00512C40"/>
    <w:rsid w:val="00527723"/>
    <w:rsid w:val="005638B0"/>
    <w:rsid w:val="005B2C90"/>
    <w:rsid w:val="005E5D42"/>
    <w:rsid w:val="00601FCD"/>
    <w:rsid w:val="006215C7"/>
    <w:rsid w:val="007139D9"/>
    <w:rsid w:val="00737B71"/>
    <w:rsid w:val="00757B65"/>
    <w:rsid w:val="007765AF"/>
    <w:rsid w:val="007F4F95"/>
    <w:rsid w:val="00804717"/>
    <w:rsid w:val="00822DD5"/>
    <w:rsid w:val="008327D1"/>
    <w:rsid w:val="0086134D"/>
    <w:rsid w:val="00862C27"/>
    <w:rsid w:val="008A4755"/>
    <w:rsid w:val="008D1F98"/>
    <w:rsid w:val="009026B7"/>
    <w:rsid w:val="00971C98"/>
    <w:rsid w:val="009C5167"/>
    <w:rsid w:val="00A241F7"/>
    <w:rsid w:val="00AC3194"/>
    <w:rsid w:val="00AD7B65"/>
    <w:rsid w:val="00AE2AF7"/>
    <w:rsid w:val="00AF42AE"/>
    <w:rsid w:val="00B271F9"/>
    <w:rsid w:val="00B735DE"/>
    <w:rsid w:val="00C26C9E"/>
    <w:rsid w:val="00C5269E"/>
    <w:rsid w:val="00C95FA8"/>
    <w:rsid w:val="00C973C0"/>
    <w:rsid w:val="00CF5033"/>
    <w:rsid w:val="00D01523"/>
    <w:rsid w:val="00D03165"/>
    <w:rsid w:val="00D57DB6"/>
    <w:rsid w:val="00D82EC4"/>
    <w:rsid w:val="00DB4DEB"/>
    <w:rsid w:val="00DC1CDD"/>
    <w:rsid w:val="00DF5592"/>
    <w:rsid w:val="00E1434E"/>
    <w:rsid w:val="00E3078D"/>
    <w:rsid w:val="00E41254"/>
    <w:rsid w:val="00E74BD8"/>
    <w:rsid w:val="00E9713D"/>
    <w:rsid w:val="00EE6F34"/>
    <w:rsid w:val="00F34DD5"/>
    <w:rsid w:val="00F6171A"/>
    <w:rsid w:val="00F703B3"/>
    <w:rsid w:val="00FA10AE"/>
    <w:rsid w:val="00FD6C98"/>
    <w:rsid w:val="00FE4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64E3"/>
  <w15:chartTrackingRefBased/>
  <w15:docId w15:val="{DFD20E25-EF35-4BD3-A392-9674434E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EB"/>
    <w:pPr>
      <w:spacing w:after="0" w:line="240" w:lineRule="auto"/>
    </w:pPr>
    <w:rPr>
      <w:rFonts w:eastAsiaTheme="minorHAnsi"/>
      <w:sz w:val="24"/>
      <w:szCs w:val="24"/>
      <w:lang w:eastAsia="en-US"/>
    </w:rPr>
  </w:style>
  <w:style w:type="paragraph" w:styleId="Heading4">
    <w:name w:val="heading 4"/>
    <w:basedOn w:val="Normal"/>
    <w:link w:val="Heading4Char"/>
    <w:uiPriority w:val="9"/>
    <w:qFormat/>
    <w:rsid w:val="002C4AD3"/>
    <w:pPr>
      <w:spacing w:before="100" w:beforeAutospacing="1" w:after="100" w:afterAutospacing="1"/>
      <w:outlineLvl w:val="3"/>
    </w:pPr>
    <w:rPr>
      <w:rFonts w:ascii="Times New Roman" w:eastAsia="Times New Roman" w:hAnsi="Times New Roman" w:cs="Times New Roman"/>
      <w:b/>
      <w:bCs/>
      <w:color w:val="CF202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EB"/>
    <w:pPr>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B4DEB"/>
    <w:rPr>
      <w:color w:val="0563C1" w:themeColor="hyperlink"/>
      <w:u w:val="single"/>
    </w:rPr>
  </w:style>
  <w:style w:type="character" w:styleId="CommentReference">
    <w:name w:val="annotation reference"/>
    <w:basedOn w:val="DefaultParagraphFont"/>
    <w:uiPriority w:val="99"/>
    <w:semiHidden/>
    <w:unhideWhenUsed/>
    <w:rsid w:val="000B4B74"/>
    <w:rPr>
      <w:sz w:val="16"/>
      <w:szCs w:val="16"/>
    </w:rPr>
  </w:style>
  <w:style w:type="paragraph" w:styleId="CommentText">
    <w:name w:val="annotation text"/>
    <w:basedOn w:val="Normal"/>
    <w:link w:val="CommentTextChar"/>
    <w:uiPriority w:val="99"/>
    <w:semiHidden/>
    <w:unhideWhenUsed/>
    <w:rsid w:val="000B4B74"/>
    <w:rPr>
      <w:sz w:val="20"/>
      <w:szCs w:val="20"/>
    </w:rPr>
  </w:style>
  <w:style w:type="character" w:customStyle="1" w:styleId="CommentTextChar">
    <w:name w:val="Comment Text Char"/>
    <w:basedOn w:val="DefaultParagraphFont"/>
    <w:link w:val="CommentText"/>
    <w:uiPriority w:val="99"/>
    <w:semiHidden/>
    <w:rsid w:val="000B4B74"/>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B4B74"/>
    <w:rPr>
      <w:b/>
      <w:bCs/>
    </w:rPr>
  </w:style>
  <w:style w:type="character" w:customStyle="1" w:styleId="CommentSubjectChar">
    <w:name w:val="Comment Subject Char"/>
    <w:basedOn w:val="CommentTextChar"/>
    <w:link w:val="CommentSubject"/>
    <w:uiPriority w:val="99"/>
    <w:semiHidden/>
    <w:rsid w:val="000B4B74"/>
    <w:rPr>
      <w:rFonts w:eastAsiaTheme="minorHAnsi"/>
      <w:b/>
      <w:bCs/>
      <w:sz w:val="20"/>
      <w:szCs w:val="20"/>
      <w:lang w:eastAsia="en-US"/>
    </w:rPr>
  </w:style>
  <w:style w:type="paragraph" w:styleId="Header">
    <w:name w:val="header"/>
    <w:basedOn w:val="Normal"/>
    <w:link w:val="HeaderChar"/>
    <w:uiPriority w:val="99"/>
    <w:unhideWhenUsed/>
    <w:rsid w:val="00E41254"/>
    <w:pPr>
      <w:tabs>
        <w:tab w:val="center" w:pos="4680"/>
        <w:tab w:val="right" w:pos="9360"/>
      </w:tabs>
    </w:pPr>
  </w:style>
  <w:style w:type="character" w:customStyle="1" w:styleId="HeaderChar">
    <w:name w:val="Header Char"/>
    <w:basedOn w:val="DefaultParagraphFont"/>
    <w:link w:val="Header"/>
    <w:uiPriority w:val="99"/>
    <w:rsid w:val="00E41254"/>
    <w:rPr>
      <w:rFonts w:eastAsiaTheme="minorHAnsi"/>
      <w:sz w:val="24"/>
      <w:szCs w:val="24"/>
      <w:lang w:eastAsia="en-US"/>
    </w:rPr>
  </w:style>
  <w:style w:type="paragraph" w:styleId="Footer">
    <w:name w:val="footer"/>
    <w:basedOn w:val="Normal"/>
    <w:link w:val="FooterChar"/>
    <w:uiPriority w:val="99"/>
    <w:unhideWhenUsed/>
    <w:rsid w:val="00E41254"/>
    <w:pPr>
      <w:tabs>
        <w:tab w:val="center" w:pos="4680"/>
        <w:tab w:val="right" w:pos="9360"/>
      </w:tabs>
    </w:pPr>
  </w:style>
  <w:style w:type="character" w:customStyle="1" w:styleId="FooterChar">
    <w:name w:val="Footer Char"/>
    <w:basedOn w:val="DefaultParagraphFont"/>
    <w:link w:val="Footer"/>
    <w:uiPriority w:val="99"/>
    <w:rsid w:val="00E41254"/>
    <w:rPr>
      <w:rFonts w:eastAsiaTheme="minorHAnsi"/>
      <w:sz w:val="24"/>
      <w:szCs w:val="24"/>
      <w:lang w:eastAsia="en-US"/>
    </w:rPr>
  </w:style>
  <w:style w:type="character" w:customStyle="1" w:styleId="Heading4Char">
    <w:name w:val="Heading 4 Char"/>
    <w:basedOn w:val="DefaultParagraphFont"/>
    <w:link w:val="Heading4"/>
    <w:uiPriority w:val="9"/>
    <w:rsid w:val="002C4AD3"/>
    <w:rPr>
      <w:rFonts w:ascii="Times New Roman" w:eastAsia="Times New Roman" w:hAnsi="Times New Roman" w:cs="Times New Roman"/>
      <w:b/>
      <w:bCs/>
      <w:color w:val="CF202F"/>
      <w:sz w:val="24"/>
      <w:szCs w:val="24"/>
    </w:rPr>
  </w:style>
  <w:style w:type="paragraph" w:styleId="NormalWeb">
    <w:name w:val="Normal (Web)"/>
    <w:basedOn w:val="Normal"/>
    <w:uiPriority w:val="99"/>
    <w:semiHidden/>
    <w:unhideWhenUsed/>
    <w:rsid w:val="002C4AD3"/>
    <w:pPr>
      <w:spacing w:after="200"/>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2E0BFC"/>
    <w:rPr>
      <w:color w:val="605E5C"/>
      <w:shd w:val="clear" w:color="auto" w:fill="E1DFDD"/>
    </w:rPr>
  </w:style>
  <w:style w:type="paragraph" w:styleId="Revision">
    <w:name w:val="Revision"/>
    <w:hidden/>
    <w:uiPriority w:val="99"/>
    <w:semiHidden/>
    <w:rsid w:val="00D03165"/>
    <w:pPr>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headachesociety.org/wp-content/uploads/2018/05/John_Rothrock_and_Deborah_Friedman_-_Triptans.pdf" TargetMode="External"/><Relationship Id="rId13" Type="http://schemas.openxmlformats.org/officeDocument/2006/relationships/hyperlink" Target="http://www.fda.gov/medwatch" TargetMode="External"/><Relationship Id="rId3" Type="http://schemas.openxmlformats.org/officeDocument/2006/relationships/settings" Target="settings.xml"/><Relationship Id="rId7" Type="http://schemas.openxmlformats.org/officeDocument/2006/relationships/hyperlink" Target="https://doi.org/10.1111/head.14153" TargetMode="External"/><Relationship Id="rId12" Type="http://schemas.openxmlformats.org/officeDocument/2006/relationships/hyperlink" Target="https://www.tonixph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embrace.graphicadevsite.com/wp-content/uploads/2019/10/Zembrace-Instructions-for-Us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embrace.graphicadevsite.com/wp-content/uploads/2019/10/Zembrace-Patient-Information-Sheet.pdf" TargetMode="External"/><Relationship Id="rId4" Type="http://schemas.openxmlformats.org/officeDocument/2006/relationships/webSettings" Target="webSettings.xml"/><Relationship Id="rId9" Type="http://schemas.openxmlformats.org/officeDocument/2006/relationships/hyperlink" Target="https://zembrace.graphicadevsite.com/wp-content/uploads/2019/10/Zembrace-Patient-Information-She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 Zachman</dc:creator>
  <cp:keywords/>
  <dc:description/>
  <cp:lastModifiedBy>Summer Diaz</cp:lastModifiedBy>
  <cp:revision>17</cp:revision>
  <dcterms:created xsi:type="dcterms:W3CDTF">2024-12-06T18:31:00Z</dcterms:created>
  <dcterms:modified xsi:type="dcterms:W3CDTF">2024-12-11T00:24:00Z</dcterms:modified>
</cp:coreProperties>
</file>